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730" w:rsidRDefault="00003730" w:rsidP="001D4E68">
      <w:pPr>
        <w:pStyle w:val="Ttulo1"/>
        <w:rPr>
          <w:rFonts w:eastAsia="Calibri"/>
          <w:caps/>
          <w:lang w:eastAsia="en-US"/>
        </w:rPr>
      </w:pPr>
    </w:p>
    <w:p w:rsidR="00003730" w:rsidRDefault="00003730" w:rsidP="001D4E68">
      <w:pPr>
        <w:pStyle w:val="Ttulo1"/>
        <w:rPr>
          <w:rFonts w:eastAsia="Calibri"/>
          <w:caps/>
          <w:lang w:eastAsia="en-US"/>
        </w:rPr>
      </w:pPr>
    </w:p>
    <w:p w:rsidR="00003730" w:rsidRDefault="00003730" w:rsidP="001D4E68">
      <w:pPr>
        <w:pStyle w:val="Ttulo1"/>
        <w:rPr>
          <w:rFonts w:eastAsia="Calibri"/>
          <w:caps/>
          <w:lang w:eastAsia="en-US"/>
        </w:rPr>
      </w:pPr>
    </w:p>
    <w:p w:rsidR="001D4E68" w:rsidRDefault="001D4E68" w:rsidP="001D4E68">
      <w:pPr>
        <w:pStyle w:val="Ttulo1"/>
        <w:rPr>
          <w:rFonts w:eastAsia="Calibri"/>
          <w:caps/>
          <w:lang w:eastAsia="en-US"/>
        </w:rPr>
      </w:pPr>
      <w:r w:rsidRPr="001D4E68">
        <w:rPr>
          <w:rFonts w:eastAsia="Calibri"/>
          <w:caps/>
          <w:lang w:eastAsia="en-US"/>
        </w:rPr>
        <w:t>A la Mesa del Congreso de los Diputados</w:t>
      </w:r>
    </w:p>
    <w:p w:rsidR="00003730" w:rsidRPr="00003730" w:rsidRDefault="00003730" w:rsidP="00003730">
      <w:pPr>
        <w:rPr>
          <w:rFonts w:eastAsia="Calibri"/>
          <w:lang w:eastAsia="en-US"/>
        </w:rPr>
      </w:pPr>
    </w:p>
    <w:p w:rsidR="001D4E68" w:rsidRPr="001D4E68" w:rsidRDefault="001D4E68" w:rsidP="001D4E68">
      <w:pPr>
        <w:autoSpaceDE w:val="0"/>
        <w:autoSpaceDN w:val="0"/>
        <w:adjustRightInd w:val="0"/>
        <w:spacing w:before="340" w:line="276" w:lineRule="auto"/>
        <w:ind w:right="-1"/>
        <w:jc w:val="both"/>
        <w:outlineLvl w:val="0"/>
        <w:rPr>
          <w:rFonts w:ascii="Calibri" w:eastAsia="Calibri" w:hAnsi="Calibri" w:cs="Calibri"/>
          <w:b/>
          <w:bCs/>
          <w:color w:val="000000"/>
          <w:lang w:eastAsia="en-US"/>
        </w:rPr>
      </w:pPr>
      <w:r w:rsidRPr="001D4E68">
        <w:rPr>
          <w:rFonts w:ascii="Calibri" w:eastAsia="Calibri" w:hAnsi="Calibri" w:cs="Calibri"/>
          <w:color w:val="000000"/>
          <w:lang w:eastAsia="en-US"/>
        </w:rPr>
        <w:t xml:space="preserve">El Grupo Parlamentario Vasco (EAJ-PNV), al amparo de lo establecido en el artículo 124 y siguientes del vigente Reglamento del Congreso de los Diputados, presenta la siguiente </w:t>
      </w:r>
      <w:r w:rsidRPr="001D4E68">
        <w:rPr>
          <w:rFonts w:ascii="Calibri" w:eastAsia="Calibri" w:hAnsi="Calibri" w:cs="Calibri"/>
          <w:b/>
          <w:bCs/>
          <w:color w:val="000000"/>
          <w:lang w:eastAsia="en-US"/>
        </w:rPr>
        <w:t>P</w:t>
      </w:r>
      <w:r w:rsidR="000B4CEC">
        <w:rPr>
          <w:rFonts w:ascii="Calibri" w:eastAsia="Calibri" w:hAnsi="Calibri" w:cs="Calibri"/>
          <w:b/>
          <w:bCs/>
          <w:color w:val="000000"/>
          <w:lang w:eastAsia="en-US"/>
        </w:rPr>
        <w:t>roposición de Ley Orgánica</w:t>
      </w:r>
      <w:r w:rsidRPr="001D4E68">
        <w:rPr>
          <w:rFonts w:ascii="Calibri" w:eastAsia="Calibri" w:hAnsi="Calibri" w:cs="Calibri"/>
          <w:b/>
          <w:bCs/>
          <w:color w:val="000000"/>
          <w:lang w:eastAsia="en-US"/>
        </w:rPr>
        <w:t xml:space="preserve"> </w:t>
      </w:r>
      <w:r w:rsidR="000B4CEC">
        <w:rPr>
          <w:rFonts w:ascii="Calibri" w:eastAsia="Calibri" w:hAnsi="Calibri" w:cs="Calibri"/>
          <w:b/>
          <w:bCs/>
          <w:color w:val="000000"/>
          <w:lang w:eastAsia="en-US"/>
        </w:rPr>
        <w:t>de reforma de la Ley Orgánica 2/1979, de 3 de octubre, del Tribunal Constitucional</w:t>
      </w:r>
      <w:r w:rsidRPr="001D4E68">
        <w:rPr>
          <w:rFonts w:ascii="Calibri" w:eastAsia="Calibri" w:hAnsi="Calibri" w:cs="Calibri"/>
          <w:b/>
          <w:bCs/>
          <w:color w:val="000000"/>
          <w:lang w:eastAsia="en-US"/>
        </w:rPr>
        <w:t>.</w:t>
      </w:r>
    </w:p>
    <w:p w:rsidR="001D4E68" w:rsidRPr="001D4E68" w:rsidRDefault="001D4E68" w:rsidP="001D4E68">
      <w:pPr>
        <w:autoSpaceDE w:val="0"/>
        <w:autoSpaceDN w:val="0"/>
        <w:adjustRightInd w:val="0"/>
        <w:spacing w:line="276" w:lineRule="auto"/>
        <w:ind w:right="-1"/>
        <w:jc w:val="both"/>
        <w:rPr>
          <w:rFonts w:ascii="Calibri" w:eastAsia="Calibri" w:hAnsi="Calibri" w:cs="Calibri"/>
          <w:color w:val="000000"/>
          <w:lang w:eastAsia="en-US"/>
        </w:rPr>
      </w:pPr>
    </w:p>
    <w:p w:rsidR="00A837FA" w:rsidRDefault="001D4E68" w:rsidP="00A837FA">
      <w:pPr>
        <w:autoSpaceDE w:val="0"/>
        <w:autoSpaceDN w:val="0"/>
        <w:adjustRightInd w:val="0"/>
        <w:spacing w:before="160" w:line="276" w:lineRule="auto"/>
        <w:ind w:right="-1"/>
        <w:jc w:val="center"/>
        <w:rPr>
          <w:rFonts w:ascii="Calibri" w:eastAsia="Calibri" w:hAnsi="Calibri" w:cs="Calibri"/>
          <w:color w:val="000000"/>
          <w:lang w:eastAsia="en-US"/>
        </w:rPr>
      </w:pPr>
      <w:r w:rsidRPr="001D4E68">
        <w:rPr>
          <w:rFonts w:ascii="Calibri" w:eastAsia="Calibri" w:hAnsi="Calibri" w:cs="Calibri"/>
          <w:color w:val="000000"/>
          <w:lang w:eastAsia="en-US"/>
        </w:rPr>
        <w:t xml:space="preserve">Congreso de los </w:t>
      </w:r>
      <w:r w:rsidR="00A837FA">
        <w:rPr>
          <w:rFonts w:ascii="Calibri" w:eastAsia="Calibri" w:hAnsi="Calibri" w:cs="Calibri"/>
          <w:color w:val="000000"/>
          <w:lang w:eastAsia="en-US"/>
        </w:rPr>
        <w:t xml:space="preserve">Diputados, </w:t>
      </w:r>
      <w:r w:rsidR="00CB7CEF">
        <w:rPr>
          <w:rFonts w:ascii="Calibri" w:eastAsia="Calibri" w:hAnsi="Calibri" w:cs="Calibri"/>
          <w:color w:val="000000"/>
          <w:lang w:eastAsia="en-US"/>
        </w:rPr>
        <w:t xml:space="preserve">13 </w:t>
      </w:r>
      <w:r w:rsidR="009B0C4A">
        <w:rPr>
          <w:rFonts w:ascii="Calibri" w:eastAsia="Calibri" w:hAnsi="Calibri" w:cs="Calibri"/>
          <w:color w:val="000000"/>
          <w:lang w:eastAsia="en-US"/>
        </w:rPr>
        <w:t>de diciembre</w:t>
      </w:r>
      <w:r w:rsidR="0001112F">
        <w:rPr>
          <w:rFonts w:ascii="Calibri" w:eastAsia="Calibri" w:hAnsi="Calibri" w:cs="Calibri"/>
          <w:color w:val="000000"/>
          <w:lang w:eastAsia="en-US"/>
        </w:rPr>
        <w:t xml:space="preserve"> </w:t>
      </w:r>
      <w:r w:rsidR="00003730">
        <w:rPr>
          <w:rFonts w:ascii="Calibri" w:eastAsia="Calibri" w:hAnsi="Calibri" w:cs="Calibri"/>
          <w:color w:val="000000"/>
          <w:lang w:eastAsia="en-US"/>
        </w:rPr>
        <w:t>de 2019</w:t>
      </w:r>
    </w:p>
    <w:p w:rsidR="00A837FA" w:rsidRDefault="00A837FA" w:rsidP="00A837FA">
      <w:pPr>
        <w:autoSpaceDE w:val="0"/>
        <w:autoSpaceDN w:val="0"/>
        <w:adjustRightInd w:val="0"/>
        <w:spacing w:before="160" w:line="276" w:lineRule="auto"/>
        <w:ind w:right="-1"/>
        <w:jc w:val="center"/>
        <w:rPr>
          <w:rFonts w:ascii="Calibri" w:eastAsia="Calibri" w:hAnsi="Calibri" w:cs="Calibri"/>
          <w:color w:val="000000"/>
          <w:lang w:eastAsia="en-US"/>
        </w:rPr>
      </w:pPr>
      <w:r>
        <w:rPr>
          <w:rFonts w:ascii="Calibri" w:eastAsia="Calibri" w:hAnsi="Calibri" w:cs="Calibri"/>
          <w:color w:val="000000"/>
          <w:lang w:eastAsia="en-US"/>
        </w:rPr>
        <w:t>EL PORTAVOZ</w:t>
      </w:r>
    </w:p>
    <w:p w:rsidR="00A837FA" w:rsidRDefault="00A837FA" w:rsidP="001D4E68">
      <w:pPr>
        <w:autoSpaceDE w:val="0"/>
        <w:autoSpaceDN w:val="0"/>
        <w:adjustRightInd w:val="0"/>
        <w:spacing w:before="160" w:line="276" w:lineRule="auto"/>
        <w:ind w:right="-1"/>
        <w:jc w:val="both"/>
        <w:rPr>
          <w:rFonts w:ascii="Calibri" w:eastAsia="Calibri" w:hAnsi="Calibri" w:cs="Calibri"/>
          <w:color w:val="000000"/>
          <w:lang w:eastAsia="en-US"/>
        </w:rPr>
      </w:pPr>
    </w:p>
    <w:p w:rsidR="000B4CEC" w:rsidRDefault="000B4CEC" w:rsidP="001D4E68">
      <w:pPr>
        <w:autoSpaceDE w:val="0"/>
        <w:autoSpaceDN w:val="0"/>
        <w:adjustRightInd w:val="0"/>
        <w:spacing w:before="160" w:line="276" w:lineRule="auto"/>
        <w:ind w:right="-1"/>
        <w:jc w:val="both"/>
        <w:rPr>
          <w:rFonts w:ascii="Calibri" w:eastAsia="Calibri" w:hAnsi="Calibri" w:cs="Calibri"/>
          <w:color w:val="000000"/>
          <w:lang w:eastAsia="en-US"/>
        </w:rPr>
      </w:pPr>
    </w:p>
    <w:p w:rsidR="001D4E68" w:rsidRDefault="00A837FA" w:rsidP="00A837FA">
      <w:pPr>
        <w:autoSpaceDE w:val="0"/>
        <w:autoSpaceDN w:val="0"/>
        <w:adjustRightInd w:val="0"/>
        <w:spacing w:before="160" w:line="276" w:lineRule="auto"/>
        <w:ind w:right="-1"/>
        <w:jc w:val="center"/>
        <w:rPr>
          <w:rFonts w:ascii="Calibri" w:eastAsia="Calibri" w:hAnsi="Calibri" w:cs="Calibri"/>
          <w:color w:val="000000"/>
          <w:lang w:eastAsia="en-US"/>
        </w:rPr>
      </w:pPr>
      <w:r>
        <w:rPr>
          <w:rFonts w:ascii="Calibri" w:eastAsia="Calibri" w:hAnsi="Calibri" w:cs="Calibri"/>
          <w:color w:val="000000"/>
          <w:lang w:eastAsia="en-US"/>
        </w:rPr>
        <w:t>AITOR ESTEBAN BRAVO</w:t>
      </w:r>
    </w:p>
    <w:p w:rsidR="001D4E68" w:rsidRPr="001D4E68" w:rsidRDefault="00A837FA" w:rsidP="000B4CEC">
      <w:pPr>
        <w:autoSpaceDE w:val="0"/>
        <w:autoSpaceDN w:val="0"/>
        <w:adjustRightInd w:val="0"/>
        <w:spacing w:before="160" w:line="276" w:lineRule="auto"/>
        <w:ind w:right="-1"/>
        <w:jc w:val="center"/>
        <w:rPr>
          <w:rFonts w:ascii="Calibri" w:eastAsia="Calibri" w:hAnsi="Calibri" w:cs="Calibri"/>
          <w:b/>
          <w:bCs/>
          <w:color w:val="000000"/>
          <w:lang w:eastAsia="en-US"/>
        </w:rPr>
      </w:pPr>
      <w:r>
        <w:rPr>
          <w:rFonts w:ascii="Calibri" w:eastAsia="Calibri" w:hAnsi="Calibri" w:cs="Calibri"/>
          <w:color w:val="000000"/>
          <w:lang w:eastAsia="en-US"/>
        </w:rPr>
        <w:br w:type="page"/>
      </w:r>
      <w:r w:rsidR="001D4E68" w:rsidRPr="001D4E68">
        <w:rPr>
          <w:rFonts w:ascii="Calibri" w:eastAsia="Calibri" w:hAnsi="Calibri" w:cs="Calibri"/>
          <w:b/>
          <w:bCs/>
          <w:color w:val="000000"/>
          <w:lang w:eastAsia="en-US"/>
        </w:rPr>
        <w:lastRenderedPageBreak/>
        <w:t xml:space="preserve">“PROPOSICION DE LEY ORGANICA, DE REFORMA DE LA </w:t>
      </w:r>
      <w:r w:rsidR="00D858D5">
        <w:rPr>
          <w:rFonts w:ascii="Calibri" w:eastAsia="Calibri" w:hAnsi="Calibri" w:cs="Calibri"/>
          <w:b/>
          <w:bCs/>
          <w:color w:val="000000"/>
          <w:lang w:eastAsia="en-US"/>
        </w:rPr>
        <w:t>LEY ORGÁNICA</w:t>
      </w:r>
      <w:r w:rsidR="001D4E68" w:rsidRPr="001D4E68">
        <w:rPr>
          <w:rFonts w:ascii="Calibri" w:eastAsia="Calibri" w:hAnsi="Calibri" w:cs="Calibri"/>
          <w:b/>
          <w:bCs/>
          <w:color w:val="000000"/>
          <w:lang w:eastAsia="en-US"/>
        </w:rPr>
        <w:t xml:space="preserve"> 2/1979, DE 3 DE OCTUBRE, DEL TRIBUNAL CONSTITUCIONAL.</w:t>
      </w:r>
    </w:p>
    <w:p w:rsidR="001D4E68" w:rsidRPr="001D4E68" w:rsidRDefault="001D4E68" w:rsidP="001D4E68">
      <w:pPr>
        <w:autoSpaceDE w:val="0"/>
        <w:autoSpaceDN w:val="0"/>
        <w:adjustRightInd w:val="0"/>
        <w:spacing w:line="276" w:lineRule="auto"/>
        <w:ind w:right="-1"/>
        <w:jc w:val="both"/>
        <w:rPr>
          <w:rFonts w:ascii="Calibri" w:eastAsia="Calibri" w:hAnsi="Calibri" w:cs="Calibri"/>
          <w:color w:val="000000"/>
          <w:lang w:eastAsia="en-US"/>
        </w:rPr>
      </w:pPr>
    </w:p>
    <w:p w:rsidR="001D4E68" w:rsidRPr="001D4E68" w:rsidRDefault="001D4E68" w:rsidP="001D4E68">
      <w:pPr>
        <w:autoSpaceDE w:val="0"/>
        <w:autoSpaceDN w:val="0"/>
        <w:adjustRightInd w:val="0"/>
        <w:spacing w:before="280" w:line="276" w:lineRule="auto"/>
        <w:ind w:right="-1"/>
        <w:jc w:val="both"/>
        <w:rPr>
          <w:rFonts w:ascii="Calibri" w:eastAsia="Calibri" w:hAnsi="Calibri" w:cs="Calibri"/>
          <w:color w:val="000000"/>
          <w:lang w:eastAsia="en-US"/>
        </w:rPr>
      </w:pPr>
      <w:r w:rsidRPr="001D4E68">
        <w:rPr>
          <w:rFonts w:ascii="Calibri" w:eastAsia="Calibri" w:hAnsi="Calibri" w:cs="Calibri"/>
          <w:color w:val="000000"/>
          <w:lang w:eastAsia="en-US"/>
        </w:rPr>
        <w:t>EXPOSICION DE MOTIVOS</w:t>
      </w:r>
    </w:p>
    <w:p w:rsidR="001D4E68" w:rsidRPr="001D4E68" w:rsidRDefault="001D4E68" w:rsidP="001D4E68">
      <w:pPr>
        <w:spacing w:after="200" w:line="276" w:lineRule="auto"/>
        <w:jc w:val="both"/>
        <w:rPr>
          <w:rFonts w:ascii="Calibri" w:eastAsia="Calibri" w:hAnsi="Calibri"/>
          <w:lang w:eastAsia="en-US"/>
        </w:rPr>
      </w:pPr>
      <w:r w:rsidRPr="001D4E68">
        <w:rPr>
          <w:rFonts w:ascii="Calibri" w:eastAsia="Calibri" w:hAnsi="Calibri"/>
          <w:lang w:eastAsia="en-US"/>
        </w:rPr>
        <w:tab/>
      </w:r>
      <w:r w:rsidRPr="001D4E68">
        <w:rPr>
          <w:rFonts w:ascii="Calibri" w:eastAsia="Calibri" w:hAnsi="Calibri"/>
          <w:lang w:eastAsia="en-US"/>
        </w:rPr>
        <w:tab/>
      </w:r>
      <w:r w:rsidRPr="001D4E68">
        <w:rPr>
          <w:rFonts w:ascii="Calibri" w:eastAsia="Calibri" w:hAnsi="Calibri"/>
          <w:lang w:eastAsia="en-US"/>
        </w:rPr>
        <w:tab/>
      </w:r>
      <w:r w:rsidRPr="001D4E68">
        <w:rPr>
          <w:rFonts w:ascii="Calibri" w:eastAsia="Calibri" w:hAnsi="Calibri"/>
          <w:lang w:eastAsia="en-US"/>
        </w:rPr>
        <w:tab/>
      </w:r>
      <w:r w:rsidRPr="001D4E68">
        <w:rPr>
          <w:rFonts w:ascii="Calibri" w:eastAsia="Calibri" w:hAnsi="Calibri"/>
          <w:lang w:eastAsia="en-US"/>
        </w:rPr>
        <w:tab/>
      </w:r>
    </w:p>
    <w:p w:rsidR="001D4E68" w:rsidRPr="001D4E68" w:rsidRDefault="001D4E68" w:rsidP="001D4E68">
      <w:pPr>
        <w:spacing w:after="200" w:line="276" w:lineRule="auto"/>
        <w:jc w:val="both"/>
        <w:rPr>
          <w:rFonts w:ascii="Calibri" w:eastAsia="Calibri" w:hAnsi="Calibri"/>
          <w:lang w:eastAsia="en-US"/>
        </w:rPr>
      </w:pPr>
      <w:r w:rsidRPr="001D4E68">
        <w:rPr>
          <w:rFonts w:ascii="Calibri" w:eastAsia="Calibri" w:hAnsi="Calibri"/>
          <w:lang w:eastAsia="en-US"/>
        </w:rPr>
        <w:tab/>
      </w:r>
      <w:r w:rsidRPr="001D4E68">
        <w:rPr>
          <w:rFonts w:ascii="Calibri" w:eastAsia="Calibri" w:hAnsi="Calibri"/>
          <w:lang w:eastAsia="en-US"/>
        </w:rPr>
        <w:tab/>
      </w:r>
      <w:r w:rsidRPr="001D4E68">
        <w:rPr>
          <w:rFonts w:ascii="Calibri" w:eastAsia="Calibri" w:hAnsi="Calibri"/>
          <w:lang w:eastAsia="en-US"/>
        </w:rPr>
        <w:tab/>
      </w:r>
      <w:r w:rsidRPr="001D4E68">
        <w:rPr>
          <w:rFonts w:ascii="Calibri" w:eastAsia="Calibri" w:hAnsi="Calibri"/>
          <w:lang w:eastAsia="en-US"/>
        </w:rPr>
        <w:tab/>
      </w:r>
      <w:r w:rsidRPr="001D4E68">
        <w:rPr>
          <w:rFonts w:ascii="Calibri" w:eastAsia="Calibri" w:hAnsi="Calibri"/>
          <w:lang w:eastAsia="en-US"/>
        </w:rPr>
        <w:tab/>
      </w:r>
      <w:r w:rsidRPr="001D4E68">
        <w:rPr>
          <w:rFonts w:ascii="Calibri" w:eastAsia="Calibri" w:hAnsi="Calibri"/>
          <w:lang w:eastAsia="en-US"/>
        </w:rPr>
        <w:tab/>
        <w:t>I</w:t>
      </w:r>
    </w:p>
    <w:p w:rsidR="001D4E68" w:rsidRPr="001D4E68" w:rsidRDefault="001D4E68" w:rsidP="001D4E68">
      <w:pPr>
        <w:autoSpaceDE w:val="0"/>
        <w:autoSpaceDN w:val="0"/>
        <w:adjustRightInd w:val="0"/>
        <w:spacing w:before="340" w:line="276" w:lineRule="auto"/>
        <w:ind w:right="-1"/>
        <w:jc w:val="both"/>
        <w:outlineLvl w:val="0"/>
        <w:rPr>
          <w:rFonts w:ascii="Calibri" w:eastAsia="Calibri" w:hAnsi="Calibri" w:cs="Calibri"/>
          <w:lang w:eastAsia="en-US"/>
        </w:rPr>
      </w:pPr>
      <w:r w:rsidRPr="001D4E68">
        <w:rPr>
          <w:rFonts w:ascii="Calibri" w:eastAsia="Calibri" w:hAnsi="Calibri" w:cs="Calibri"/>
          <w:lang w:eastAsia="en-US"/>
        </w:rPr>
        <w:t xml:space="preserve">Con la presente reforma de la de la </w:t>
      </w:r>
      <w:r w:rsidR="00D858D5">
        <w:rPr>
          <w:rFonts w:ascii="Calibri" w:eastAsia="Calibri" w:hAnsi="Calibri" w:cs="Calibri"/>
          <w:bCs/>
          <w:lang w:eastAsia="en-US"/>
        </w:rPr>
        <w:t>Ley Orgánica</w:t>
      </w:r>
      <w:r w:rsidRPr="001D4E68">
        <w:rPr>
          <w:rFonts w:ascii="Calibri" w:eastAsia="Calibri" w:hAnsi="Calibri" w:cs="Calibri"/>
          <w:bCs/>
          <w:lang w:eastAsia="en-US"/>
        </w:rPr>
        <w:t xml:space="preserve"> 2/1979, de 3 de octubre, del Tribunal Constitucional se vuelve a la situación anterior a la que había antes de la aprobación tanto de la </w:t>
      </w:r>
      <w:r w:rsidRPr="001D4E68">
        <w:rPr>
          <w:rFonts w:ascii="Calibri" w:eastAsia="Calibri" w:hAnsi="Calibri" w:cs="Arial"/>
          <w:lang w:eastAsia="en-US"/>
        </w:rPr>
        <w:t xml:space="preserve"> </w:t>
      </w:r>
      <w:r w:rsidR="00D858D5">
        <w:rPr>
          <w:rFonts w:ascii="Calibri" w:eastAsia="Calibri" w:hAnsi="Calibri" w:cs="Calibri"/>
          <w:lang w:eastAsia="en-US"/>
        </w:rPr>
        <w:t>Ley Orgánica</w:t>
      </w:r>
      <w:r w:rsidRPr="001D4E68">
        <w:rPr>
          <w:rFonts w:ascii="Calibri" w:eastAsia="Calibri" w:hAnsi="Calibri" w:cs="Calibri"/>
          <w:lang w:eastAsia="en-US"/>
        </w:rPr>
        <w:t xml:space="preserve"> 12/2015, de 22 de septiembre, de reforma de la </w:t>
      </w:r>
      <w:r w:rsidR="00D858D5">
        <w:rPr>
          <w:rFonts w:ascii="Calibri" w:eastAsia="Calibri" w:hAnsi="Calibri" w:cs="Calibri"/>
          <w:lang w:eastAsia="en-US"/>
        </w:rPr>
        <w:t>Ley Orgánica</w:t>
      </w:r>
      <w:r w:rsidRPr="001D4E68">
        <w:rPr>
          <w:rFonts w:ascii="Calibri" w:eastAsia="Calibri" w:hAnsi="Calibri" w:cs="Calibri"/>
          <w:lang w:eastAsia="en-US"/>
        </w:rPr>
        <w:t xml:space="preserve"> 2/1979, de 3 de octubre, del Tribunal Constitucional, para el establecimiento del recurso  previo de inconstitucionalidad para los Proyectos de </w:t>
      </w:r>
      <w:r w:rsidR="00D858D5">
        <w:rPr>
          <w:rFonts w:ascii="Calibri" w:eastAsia="Calibri" w:hAnsi="Calibri" w:cs="Calibri"/>
          <w:lang w:eastAsia="en-US"/>
        </w:rPr>
        <w:t>Ley Orgánica</w:t>
      </w:r>
      <w:r w:rsidRPr="001D4E68">
        <w:rPr>
          <w:rFonts w:ascii="Calibri" w:eastAsia="Calibri" w:hAnsi="Calibri" w:cs="Calibri"/>
          <w:lang w:eastAsia="en-US"/>
        </w:rPr>
        <w:t xml:space="preserve"> de Estatuto de Autonomía o de su modificación, como de la </w:t>
      </w:r>
      <w:r w:rsidR="00D858D5">
        <w:rPr>
          <w:rFonts w:ascii="Calibri" w:eastAsia="Calibri" w:hAnsi="Calibri" w:cs="Calibri"/>
          <w:lang w:eastAsia="en-US"/>
        </w:rPr>
        <w:t>Ley Orgánica</w:t>
      </w:r>
      <w:r w:rsidRPr="001D4E68">
        <w:rPr>
          <w:rFonts w:ascii="Calibri" w:eastAsia="Calibri" w:hAnsi="Calibri" w:cs="Calibri"/>
          <w:lang w:eastAsia="en-US"/>
        </w:rPr>
        <w:t xml:space="preserve"> 15/2015, de 16 de octubre, de reforma de la </w:t>
      </w:r>
      <w:r w:rsidR="00D858D5">
        <w:rPr>
          <w:rFonts w:ascii="Calibri" w:eastAsia="Calibri" w:hAnsi="Calibri" w:cs="Calibri"/>
          <w:lang w:eastAsia="en-US"/>
        </w:rPr>
        <w:t>Ley Orgánica</w:t>
      </w:r>
      <w:r w:rsidRPr="001D4E68">
        <w:rPr>
          <w:rFonts w:ascii="Calibri" w:eastAsia="Calibri" w:hAnsi="Calibri" w:cs="Calibri"/>
          <w:lang w:eastAsia="en-US"/>
        </w:rPr>
        <w:t xml:space="preserve"> 2/1979, de 3 de octubre, del Tribunal Constitucional, para la ejecución de las resoluciones del Tribunal Constitucional como garantía del estado de derecho.</w:t>
      </w:r>
    </w:p>
    <w:p w:rsidR="001D4E68" w:rsidRPr="001D4E68" w:rsidRDefault="001D4E68" w:rsidP="001D4E68">
      <w:pPr>
        <w:autoSpaceDE w:val="0"/>
        <w:autoSpaceDN w:val="0"/>
        <w:adjustRightInd w:val="0"/>
        <w:spacing w:line="276" w:lineRule="auto"/>
        <w:jc w:val="both"/>
        <w:rPr>
          <w:rFonts w:ascii="Calibri" w:eastAsia="Calibri" w:hAnsi="Calibri" w:cs="Arial"/>
          <w:color w:val="000000"/>
          <w:lang w:eastAsia="en-US"/>
        </w:rPr>
      </w:pPr>
    </w:p>
    <w:p w:rsidR="001D4E68" w:rsidRPr="001D4E68" w:rsidRDefault="001D4E68" w:rsidP="001D4E68">
      <w:pPr>
        <w:autoSpaceDE w:val="0"/>
        <w:autoSpaceDN w:val="0"/>
        <w:adjustRightInd w:val="0"/>
        <w:spacing w:line="276" w:lineRule="auto"/>
        <w:jc w:val="both"/>
        <w:rPr>
          <w:rFonts w:ascii="Calibri" w:eastAsia="Calibri" w:hAnsi="Calibri" w:cs="Arial"/>
          <w:color w:val="000000"/>
          <w:lang w:eastAsia="en-US"/>
        </w:rPr>
      </w:pPr>
      <w:r w:rsidRPr="001D4E68">
        <w:rPr>
          <w:rFonts w:ascii="Calibri" w:eastAsia="Calibri" w:hAnsi="Calibri" w:cs="Arial"/>
          <w:color w:val="000000"/>
          <w:lang w:eastAsia="en-US"/>
        </w:rPr>
        <w:tab/>
      </w:r>
      <w:r w:rsidRPr="001D4E68">
        <w:rPr>
          <w:rFonts w:ascii="Calibri" w:eastAsia="Calibri" w:hAnsi="Calibri" w:cs="Arial"/>
          <w:color w:val="000000"/>
          <w:lang w:eastAsia="en-US"/>
        </w:rPr>
        <w:tab/>
      </w:r>
      <w:r w:rsidRPr="001D4E68">
        <w:rPr>
          <w:rFonts w:ascii="Calibri" w:eastAsia="Calibri" w:hAnsi="Calibri" w:cs="Arial"/>
          <w:color w:val="000000"/>
          <w:lang w:eastAsia="en-US"/>
        </w:rPr>
        <w:tab/>
      </w:r>
      <w:r w:rsidRPr="001D4E68">
        <w:rPr>
          <w:rFonts w:ascii="Calibri" w:eastAsia="Calibri" w:hAnsi="Calibri" w:cs="Arial"/>
          <w:color w:val="000000"/>
          <w:lang w:eastAsia="en-US"/>
        </w:rPr>
        <w:tab/>
      </w:r>
    </w:p>
    <w:p w:rsidR="001D4E68" w:rsidRPr="001D4E68" w:rsidRDefault="001D4E68" w:rsidP="001D4E68">
      <w:pPr>
        <w:autoSpaceDE w:val="0"/>
        <w:autoSpaceDN w:val="0"/>
        <w:adjustRightInd w:val="0"/>
        <w:spacing w:line="276" w:lineRule="auto"/>
        <w:jc w:val="both"/>
        <w:rPr>
          <w:rFonts w:ascii="Calibri" w:eastAsia="Calibri" w:hAnsi="Calibri" w:cs="Arial"/>
          <w:color w:val="000000"/>
          <w:lang w:eastAsia="en-US"/>
        </w:rPr>
      </w:pPr>
      <w:r w:rsidRPr="001D4E68">
        <w:rPr>
          <w:rFonts w:ascii="Calibri" w:eastAsia="Calibri" w:hAnsi="Calibri" w:cs="Arial"/>
          <w:color w:val="000000"/>
          <w:lang w:eastAsia="en-US"/>
        </w:rPr>
        <w:tab/>
      </w:r>
      <w:r w:rsidRPr="001D4E68">
        <w:rPr>
          <w:rFonts w:ascii="Calibri" w:eastAsia="Calibri" w:hAnsi="Calibri" w:cs="Arial"/>
          <w:color w:val="000000"/>
          <w:lang w:eastAsia="en-US"/>
        </w:rPr>
        <w:tab/>
      </w:r>
      <w:r w:rsidRPr="001D4E68">
        <w:rPr>
          <w:rFonts w:ascii="Calibri" w:eastAsia="Calibri" w:hAnsi="Calibri" w:cs="Arial"/>
          <w:color w:val="000000"/>
          <w:lang w:eastAsia="en-US"/>
        </w:rPr>
        <w:tab/>
      </w:r>
      <w:r w:rsidRPr="001D4E68">
        <w:rPr>
          <w:rFonts w:ascii="Calibri" w:eastAsia="Calibri" w:hAnsi="Calibri" w:cs="Arial"/>
          <w:color w:val="000000"/>
          <w:lang w:eastAsia="en-US"/>
        </w:rPr>
        <w:tab/>
      </w:r>
      <w:r w:rsidRPr="001D4E68">
        <w:rPr>
          <w:rFonts w:ascii="Calibri" w:eastAsia="Calibri" w:hAnsi="Calibri" w:cs="Arial"/>
          <w:color w:val="000000"/>
          <w:lang w:eastAsia="en-US"/>
        </w:rPr>
        <w:tab/>
      </w:r>
      <w:r w:rsidRPr="001D4E68">
        <w:rPr>
          <w:rFonts w:ascii="Calibri" w:eastAsia="Calibri" w:hAnsi="Calibri" w:cs="Arial"/>
          <w:color w:val="000000"/>
          <w:lang w:eastAsia="en-US"/>
        </w:rPr>
        <w:tab/>
        <w:t>II</w:t>
      </w:r>
    </w:p>
    <w:p w:rsidR="001D4E68" w:rsidRPr="001D4E68" w:rsidRDefault="001D4E68" w:rsidP="001D4E68">
      <w:pPr>
        <w:autoSpaceDE w:val="0"/>
        <w:autoSpaceDN w:val="0"/>
        <w:adjustRightInd w:val="0"/>
        <w:spacing w:line="276" w:lineRule="auto"/>
        <w:jc w:val="both"/>
        <w:rPr>
          <w:rFonts w:ascii="Calibri" w:eastAsia="Calibri" w:hAnsi="Calibri" w:cs="Arial"/>
          <w:color w:val="000000"/>
          <w:lang w:eastAsia="en-US"/>
        </w:rPr>
      </w:pPr>
    </w:p>
    <w:p w:rsidR="001D4E68" w:rsidRPr="001D4E68" w:rsidRDefault="001D4E68" w:rsidP="001D4E68">
      <w:pPr>
        <w:autoSpaceDE w:val="0"/>
        <w:autoSpaceDN w:val="0"/>
        <w:adjustRightInd w:val="0"/>
        <w:spacing w:line="276" w:lineRule="auto"/>
        <w:jc w:val="both"/>
        <w:rPr>
          <w:rFonts w:ascii="Calibri" w:eastAsia="Calibri" w:hAnsi="Calibri" w:cs="Arial"/>
          <w:color w:val="000000"/>
          <w:lang w:val="es-ES_tradnl" w:eastAsia="en-US"/>
        </w:rPr>
      </w:pPr>
      <w:r w:rsidRPr="001D4E68">
        <w:rPr>
          <w:rFonts w:ascii="Calibri" w:eastAsia="Calibri" w:hAnsi="Calibri" w:cs="Calibri"/>
          <w:bCs/>
          <w:lang w:eastAsia="en-US"/>
        </w:rPr>
        <w:t xml:space="preserve">La </w:t>
      </w:r>
      <w:r w:rsidRPr="001D4E68">
        <w:rPr>
          <w:rFonts w:ascii="Calibri" w:eastAsia="Calibri" w:hAnsi="Calibri" w:cs="Calibri"/>
          <w:lang w:eastAsia="en-US"/>
        </w:rPr>
        <w:t xml:space="preserve"> </w:t>
      </w:r>
      <w:r w:rsidR="00D858D5">
        <w:rPr>
          <w:rFonts w:ascii="Calibri" w:eastAsia="Calibri" w:hAnsi="Calibri" w:cs="Calibri"/>
          <w:lang w:eastAsia="en-US"/>
        </w:rPr>
        <w:t>Ley Orgánica</w:t>
      </w:r>
      <w:r w:rsidRPr="001D4E68">
        <w:rPr>
          <w:rFonts w:ascii="Calibri" w:eastAsia="Calibri" w:hAnsi="Calibri" w:cs="Calibri"/>
          <w:lang w:eastAsia="en-US"/>
        </w:rPr>
        <w:t xml:space="preserve"> 12/2015, de 22 de septiembre, de reforma de la </w:t>
      </w:r>
      <w:r w:rsidR="00D858D5">
        <w:rPr>
          <w:rFonts w:ascii="Calibri" w:eastAsia="Calibri" w:hAnsi="Calibri" w:cs="Calibri"/>
          <w:lang w:eastAsia="en-US"/>
        </w:rPr>
        <w:t>Ley Orgánica</w:t>
      </w:r>
      <w:r w:rsidRPr="001D4E68">
        <w:rPr>
          <w:rFonts w:ascii="Calibri" w:eastAsia="Calibri" w:hAnsi="Calibri" w:cs="Calibri"/>
          <w:lang w:eastAsia="en-US"/>
        </w:rPr>
        <w:t xml:space="preserve"> 2/1979, de 3 de octubre, del Tribunal Constitucional, para el establecimiento del recurso  previo de inconstitucionalidad para los Proyectos de </w:t>
      </w:r>
      <w:r w:rsidR="00D858D5">
        <w:rPr>
          <w:rFonts w:ascii="Calibri" w:eastAsia="Calibri" w:hAnsi="Calibri" w:cs="Calibri"/>
          <w:lang w:eastAsia="en-US"/>
        </w:rPr>
        <w:t>Ley Orgánica</w:t>
      </w:r>
      <w:r w:rsidRPr="001D4E68">
        <w:rPr>
          <w:rFonts w:ascii="Calibri" w:eastAsia="Calibri" w:hAnsi="Calibri" w:cs="Calibri"/>
          <w:lang w:eastAsia="en-US"/>
        </w:rPr>
        <w:t xml:space="preserve"> de Estatuto de Autonomía o de su modificación, </w:t>
      </w:r>
      <w:r w:rsidRPr="001D4E68">
        <w:rPr>
          <w:rFonts w:ascii="Calibri" w:eastAsia="Calibri" w:hAnsi="Calibri" w:cs="Calibri"/>
          <w:color w:val="000000"/>
          <w:lang w:val="es-ES_tradnl" w:eastAsia="en-US"/>
        </w:rPr>
        <w:t xml:space="preserve">en su Exposición de Motivos establece el fundamento en el que basa la reinstauración del recurso previo de inconstitucionalidad, a saber: “evitar el cuestionamiento constitucional e institucional y vertebrar con rigor jurídico y cohesión social el Estado”. Esta justificación ya adelantaba el papel político que se quería otorgar al Tribunal Constitucional  en un momento tan delicado como el actual, con los riesgos que ello acarrea para la estabilidad del sistema, que supera con creces el carácter jurisdiccional del control constitucional a posteriori que fue atribuido en el texto constitucional; y lo que es más grave permite a los responsables políticos hacer negación de su obligación de resolver mediante el dialogo y el consenso los problemas políticos de fondo. Esa </w:t>
      </w:r>
      <w:r w:rsidR="00D858D5">
        <w:rPr>
          <w:rFonts w:ascii="Calibri" w:eastAsia="Calibri" w:hAnsi="Calibri" w:cs="Calibri"/>
          <w:color w:val="000000"/>
          <w:lang w:val="es-ES_tradnl" w:eastAsia="en-US"/>
        </w:rPr>
        <w:t>Ley Orgánica</w:t>
      </w:r>
      <w:r w:rsidRPr="001D4E68">
        <w:rPr>
          <w:rFonts w:ascii="Calibri" w:eastAsia="Calibri" w:hAnsi="Calibri" w:cs="Calibri"/>
          <w:color w:val="000000"/>
          <w:lang w:val="es-ES_tradnl" w:eastAsia="en-US"/>
        </w:rPr>
        <w:t xml:space="preserve"> en lugar de obligar a cada uno asumir sus respectivas obligaciones, se permite delegarlas en el alto tribunal, con claro infantilismo político. Procede recordar, en este sentido, alguna reciente reflexión del Tribunal Constitucional, instando a los actores políticos a resolver las diferencias mediante el diálogo y la negociación; y aprovechando para dejar sentado que la suya no es la sede donde han de resolverse las cuestiones relativas a la alteración de estatus jurídico al tratarse más bien de una cuestión política cuya  sede es política y su método el diálogo. </w:t>
      </w:r>
      <w:r w:rsidRPr="001D4E68">
        <w:rPr>
          <w:rFonts w:ascii="Calibri" w:eastAsia="Calibri" w:hAnsi="Calibri" w:cs="Arial"/>
          <w:color w:val="000000"/>
          <w:lang w:eastAsia="en-US"/>
        </w:rPr>
        <w:t xml:space="preserve">Es por ello que </w:t>
      </w:r>
      <w:r w:rsidRPr="001D4E68">
        <w:rPr>
          <w:rFonts w:ascii="Calibri" w:eastAsia="Calibri" w:hAnsi="Calibri" w:cs="Arial"/>
          <w:color w:val="000000"/>
          <w:lang w:val="es-ES_tradnl" w:eastAsia="en-US"/>
        </w:rPr>
        <w:t xml:space="preserve">la recuperación del recurso previo supone un apaño jurídico a aquello que la política parece incapaz de resolver. </w:t>
      </w:r>
    </w:p>
    <w:p w:rsidR="001D4E68" w:rsidRPr="001D4E68" w:rsidRDefault="001D4E68" w:rsidP="001D4E68">
      <w:pPr>
        <w:spacing w:after="200" w:line="276" w:lineRule="auto"/>
        <w:contextualSpacing/>
        <w:jc w:val="both"/>
        <w:rPr>
          <w:rFonts w:ascii="Calibri" w:eastAsia="Calibri" w:hAnsi="Calibri" w:cs="Arial"/>
          <w:color w:val="000000"/>
          <w:lang w:val="es-ES_tradnl" w:eastAsia="en-US"/>
        </w:rPr>
      </w:pPr>
    </w:p>
    <w:p w:rsidR="001D4E68" w:rsidRDefault="001D4E68" w:rsidP="001D4E68">
      <w:pPr>
        <w:spacing w:after="200" w:line="276" w:lineRule="auto"/>
        <w:contextualSpacing/>
        <w:jc w:val="both"/>
        <w:rPr>
          <w:rFonts w:ascii="Calibri" w:eastAsia="Calibri" w:hAnsi="Calibri"/>
          <w:lang w:val="es-ES_tradnl" w:eastAsia="en-US"/>
        </w:rPr>
      </w:pPr>
      <w:r w:rsidRPr="001D4E68">
        <w:rPr>
          <w:rFonts w:ascii="Calibri" w:eastAsia="Calibri" w:hAnsi="Calibri"/>
          <w:lang w:val="es-ES_tradnl" w:eastAsia="en-US"/>
        </w:rPr>
        <w:t xml:space="preserve">Además, ha de añadirse que el recurso previo de inconstitucionalidad incorpora un auténtico veto político en los procedimientos de reforma de los Estatutos de Autonomía (todo control </w:t>
      </w:r>
      <w:r w:rsidRPr="001D4E68">
        <w:rPr>
          <w:rFonts w:ascii="Calibri" w:eastAsia="Calibri" w:hAnsi="Calibri"/>
          <w:i/>
          <w:lang w:val="es-ES_tradnl" w:eastAsia="en-US"/>
        </w:rPr>
        <w:t>a priori</w:t>
      </w:r>
      <w:r w:rsidRPr="001D4E68">
        <w:rPr>
          <w:rFonts w:ascii="Calibri" w:eastAsia="Calibri" w:hAnsi="Calibri"/>
          <w:lang w:val="es-ES_tradnl" w:eastAsia="en-US"/>
        </w:rPr>
        <w:t xml:space="preserve"> es automáticamente un control político), no previsto constitucionalmente, que desnaturaliza el modelo que la Constitución establece y que afecta a la esencia de la función del Tribunal Constitucional. Es por ello el recurso previo contra los proyectos de Estatuto de Autonomía algo no previsto constitucionalmente, y que no resulta armonizable con otros preceptos constitucionales, tales como el artículo 1.1 (pluralismo político), el artículo  91 (procedimiento legislativo) y el artículo 147.3 procedimiento de aprobación de los Estatutos de Autonomía.</w:t>
      </w:r>
    </w:p>
    <w:p w:rsidR="000B4CEC" w:rsidRPr="001D4E68" w:rsidRDefault="000B4CEC" w:rsidP="001D4E68">
      <w:pPr>
        <w:spacing w:after="200" w:line="276" w:lineRule="auto"/>
        <w:contextualSpacing/>
        <w:jc w:val="both"/>
        <w:rPr>
          <w:rFonts w:ascii="Calibri" w:eastAsia="Calibri" w:hAnsi="Calibri"/>
          <w:lang w:val="es-ES_tradnl" w:eastAsia="en-US"/>
        </w:rPr>
      </w:pPr>
    </w:p>
    <w:p w:rsidR="001D4E68" w:rsidRPr="001D4E68" w:rsidRDefault="001D4E68" w:rsidP="001D4E68">
      <w:pPr>
        <w:autoSpaceDE w:val="0"/>
        <w:autoSpaceDN w:val="0"/>
        <w:adjustRightInd w:val="0"/>
        <w:spacing w:line="276" w:lineRule="auto"/>
        <w:jc w:val="both"/>
        <w:rPr>
          <w:rFonts w:ascii="Calibri" w:eastAsia="Calibri" w:hAnsi="Calibri" w:cs="Arial"/>
          <w:color w:val="000000"/>
          <w:lang w:val="es-ES_tradnl" w:eastAsia="en-US"/>
        </w:rPr>
      </w:pPr>
      <w:r w:rsidRPr="001D4E68">
        <w:rPr>
          <w:rFonts w:ascii="Calibri" w:eastAsia="Calibri" w:hAnsi="Calibri" w:cs="Arial"/>
          <w:color w:val="000000"/>
          <w:lang w:val="es-ES_tradnl" w:eastAsia="en-US"/>
        </w:rPr>
        <w:t>Ha de señalarse también que</w:t>
      </w:r>
      <w:r w:rsidRPr="001D4E68">
        <w:rPr>
          <w:rFonts w:ascii="Calibri" w:eastAsia="Calibri" w:hAnsi="Calibri" w:cs="Calibri"/>
          <w:color w:val="000000"/>
          <w:lang w:val="es-ES_tradnl" w:eastAsia="en-US"/>
        </w:rPr>
        <w:t xml:space="preserve"> la experiencia política del recurso previo de Inconstitucionalidad estuvo repleta de incongruencias y su supresión fue calificada por la doctrina como el restablecimiento de la normalidad en las relaciones entre los poderes del Estado y el funcionamiento del sistema parlamentario democrático español.</w:t>
      </w:r>
    </w:p>
    <w:p w:rsidR="001D4E68" w:rsidRPr="001D4E68" w:rsidRDefault="001D4E68" w:rsidP="001D4E68">
      <w:pPr>
        <w:spacing w:before="180" w:after="180" w:line="276" w:lineRule="auto"/>
        <w:jc w:val="both"/>
        <w:rPr>
          <w:rFonts w:ascii="Calibri" w:eastAsia="Calibri" w:hAnsi="Calibri" w:cs="Calibri"/>
          <w:lang w:val="es-ES_tradnl" w:eastAsia="en-US"/>
        </w:rPr>
      </w:pPr>
      <w:r w:rsidRPr="001D4E68">
        <w:rPr>
          <w:rFonts w:ascii="Calibri" w:eastAsia="Calibri" w:hAnsi="Calibri" w:cs="Calibri"/>
          <w:lang w:val="es-ES_tradnl" w:eastAsia="en-US"/>
        </w:rPr>
        <w:t>Su supresión puso de relieve el importante valor integrador de la política de consenso y transacción, y que el instrumento del recurso previo no supuso sino la sustitución de ese valor por el “atajo” jurídico, que únicamente acarreó tensiones en el sistema.</w:t>
      </w:r>
    </w:p>
    <w:p w:rsidR="001D4E68" w:rsidRDefault="001D4E68" w:rsidP="001D4E68">
      <w:pPr>
        <w:spacing w:after="200" w:line="276" w:lineRule="auto"/>
        <w:contextualSpacing/>
        <w:jc w:val="both"/>
        <w:outlineLvl w:val="2"/>
        <w:rPr>
          <w:rFonts w:ascii="Calibri" w:eastAsia="Calibri" w:hAnsi="Calibri"/>
          <w:lang w:val="es-ES_tradnl" w:eastAsia="en-US"/>
        </w:rPr>
      </w:pPr>
      <w:r w:rsidRPr="001D4E68">
        <w:rPr>
          <w:rFonts w:ascii="Calibri" w:eastAsia="Calibri" w:hAnsi="Calibri" w:cs="Calibri"/>
          <w:lang w:val="es-ES_tradnl" w:eastAsia="en-US"/>
        </w:rPr>
        <w:t>El recurso previo generó efectos distorsionantes en el juego político democrático para el sistema parlamentario e incluso para las funciones del propio Tribunal Constitucional, ya que</w:t>
      </w:r>
      <w:r w:rsidRPr="001D4E68">
        <w:rPr>
          <w:rFonts w:ascii="Calibri" w:eastAsia="Calibri" w:hAnsi="Calibri"/>
          <w:b/>
          <w:lang w:val="es-ES_tradnl" w:eastAsia="en-US"/>
        </w:rPr>
        <w:t xml:space="preserve"> </w:t>
      </w:r>
      <w:r w:rsidRPr="001D4E68">
        <w:rPr>
          <w:rFonts w:ascii="Calibri" w:eastAsia="Calibri" w:hAnsi="Calibri"/>
          <w:lang w:val="es-ES_tradnl" w:eastAsia="en-US"/>
        </w:rPr>
        <w:t xml:space="preserve">cambia la naturaleza del control de constitucionalidad previsto en la Constitución, de ser posterior y de carácter represivo pasa a ser previo y de carácter preventivo. </w:t>
      </w:r>
    </w:p>
    <w:p w:rsidR="0070797B" w:rsidRPr="001D4E68" w:rsidRDefault="0070797B" w:rsidP="001D4E68">
      <w:pPr>
        <w:spacing w:after="200" w:line="276" w:lineRule="auto"/>
        <w:contextualSpacing/>
        <w:jc w:val="both"/>
        <w:outlineLvl w:val="2"/>
        <w:rPr>
          <w:rFonts w:ascii="Calibri" w:eastAsia="Calibri" w:hAnsi="Calibri"/>
          <w:lang w:val="es-ES_tradnl" w:eastAsia="en-US"/>
        </w:rPr>
      </w:pPr>
    </w:p>
    <w:p w:rsidR="001D4E68" w:rsidRPr="001D4E68" w:rsidRDefault="001D4E68" w:rsidP="001D4E68">
      <w:pPr>
        <w:spacing w:after="200" w:line="276" w:lineRule="auto"/>
        <w:contextualSpacing/>
        <w:jc w:val="both"/>
        <w:outlineLvl w:val="2"/>
        <w:rPr>
          <w:rFonts w:ascii="Calibri" w:eastAsia="Calibri" w:hAnsi="Calibri"/>
          <w:lang w:val="es-ES_tradnl" w:eastAsia="en-US"/>
        </w:rPr>
      </w:pPr>
      <w:r w:rsidRPr="001D4E68">
        <w:rPr>
          <w:rFonts w:ascii="Calibri" w:eastAsia="Calibri" w:hAnsi="Calibri" w:cs="Calibri"/>
          <w:lang w:val="es-ES_tradnl" w:eastAsia="en-US"/>
        </w:rPr>
        <w:t xml:space="preserve">Con el recurso previo se </w:t>
      </w:r>
      <w:r w:rsidRPr="001D4E68">
        <w:rPr>
          <w:rFonts w:ascii="Calibri" w:eastAsia="Calibri" w:hAnsi="Calibri"/>
          <w:lang w:val="es-ES_tradnl" w:eastAsia="en-US"/>
        </w:rPr>
        <w:t>altera la naturaleza del control constitucional prevista inicialmente en la Constitución.</w:t>
      </w:r>
      <w:r w:rsidRPr="001D4E68">
        <w:rPr>
          <w:rFonts w:ascii="Calibri" w:eastAsia="Calibri" w:hAnsi="Calibri"/>
          <w:b/>
          <w:lang w:val="es-ES_tradnl" w:eastAsia="en-US"/>
        </w:rPr>
        <w:t xml:space="preserve"> </w:t>
      </w:r>
      <w:r w:rsidRPr="001D4E68">
        <w:rPr>
          <w:rFonts w:ascii="Calibri" w:eastAsia="Calibri" w:hAnsi="Calibri"/>
          <w:lang w:val="es-ES_tradnl" w:eastAsia="en-US"/>
        </w:rPr>
        <w:t xml:space="preserve">El modelo territorial del Estado de las Autonomías admitía un control constitucional de carácter jurídico, reparador y </w:t>
      </w:r>
      <w:r w:rsidRPr="001D4E68">
        <w:rPr>
          <w:rFonts w:ascii="Calibri" w:eastAsia="Calibri" w:hAnsi="Calibri"/>
          <w:i/>
          <w:lang w:val="es-ES_tradnl" w:eastAsia="en-US"/>
        </w:rPr>
        <w:t>a posteriori</w:t>
      </w:r>
      <w:r w:rsidRPr="001D4E68">
        <w:rPr>
          <w:rFonts w:ascii="Calibri" w:eastAsia="Calibri" w:hAnsi="Calibri"/>
          <w:lang w:val="es-ES_tradnl" w:eastAsia="en-US"/>
        </w:rPr>
        <w:t xml:space="preserve">. Sin embargo, el recurso previo lo altera sustancialmente convirtiéndolo en un control “a </w:t>
      </w:r>
      <w:proofErr w:type="spellStart"/>
      <w:r w:rsidRPr="001D4E68">
        <w:rPr>
          <w:rFonts w:ascii="Calibri" w:eastAsia="Calibri" w:hAnsi="Calibri"/>
          <w:lang w:val="es-ES_tradnl" w:eastAsia="en-US"/>
        </w:rPr>
        <w:t>prioiri</w:t>
      </w:r>
      <w:proofErr w:type="spellEnd"/>
      <w:r w:rsidRPr="001D4E68">
        <w:rPr>
          <w:rFonts w:ascii="Calibri" w:eastAsia="Calibri" w:hAnsi="Calibri"/>
          <w:lang w:val="es-ES_tradnl" w:eastAsia="en-US"/>
        </w:rPr>
        <w:t>” y de carácter preventivo.</w:t>
      </w:r>
    </w:p>
    <w:p w:rsidR="001D4E68" w:rsidRPr="001D4E68" w:rsidRDefault="001D4E68" w:rsidP="001D4E68">
      <w:pPr>
        <w:spacing w:after="200" w:line="276" w:lineRule="auto"/>
        <w:contextualSpacing/>
        <w:jc w:val="both"/>
        <w:outlineLvl w:val="2"/>
        <w:rPr>
          <w:rFonts w:ascii="Calibri" w:hAnsi="Calibri"/>
          <w:lang w:val="es-ES_tradnl"/>
        </w:rPr>
      </w:pPr>
    </w:p>
    <w:p w:rsidR="001D4E68" w:rsidRPr="001D4E68" w:rsidRDefault="001D4E68" w:rsidP="001D4E68">
      <w:pPr>
        <w:spacing w:after="200" w:line="276" w:lineRule="auto"/>
        <w:contextualSpacing/>
        <w:jc w:val="both"/>
        <w:outlineLvl w:val="2"/>
        <w:rPr>
          <w:rFonts w:ascii="Calibri" w:eastAsia="Calibri" w:hAnsi="Calibri"/>
          <w:lang w:val="es-ES_tradnl" w:eastAsia="en-US"/>
        </w:rPr>
      </w:pPr>
      <w:r w:rsidRPr="001D4E68">
        <w:rPr>
          <w:rFonts w:ascii="Calibri" w:eastAsia="Calibri" w:hAnsi="Calibri"/>
          <w:lang w:val="es-ES_tradnl" w:eastAsia="en-US"/>
        </w:rPr>
        <w:t xml:space="preserve">Se perturba el suceder normal del procedimiento legislativo en la medida en que el Tribunal Constitucional se intercala entre la aprobación de la norma estatutaria en el Congreso y su sanción y promulgación regia (art. 91 CE) de manera no prevista constitucionalmente (art. 147.3 CE), e introduce trámites complementarios al procedimiento singular de reforma estatutaria, sujeto a reserva estatutaria, en una </w:t>
      </w:r>
      <w:r w:rsidR="00D858D5">
        <w:rPr>
          <w:rFonts w:ascii="Calibri" w:eastAsia="Calibri" w:hAnsi="Calibri"/>
          <w:lang w:val="es-ES_tradnl" w:eastAsia="en-US"/>
        </w:rPr>
        <w:t>Ley Orgánica</w:t>
      </w:r>
      <w:r w:rsidRPr="001D4E68">
        <w:rPr>
          <w:rFonts w:ascii="Calibri" w:eastAsia="Calibri" w:hAnsi="Calibri"/>
          <w:lang w:val="es-ES_tradnl" w:eastAsia="en-US"/>
        </w:rPr>
        <w:t xml:space="preserve"> reguladora de un órgano constitucional distinto a los legislativos y ajeno en principio al procedimiento legislativo. </w:t>
      </w:r>
    </w:p>
    <w:p w:rsidR="001D4E68" w:rsidRPr="001D4E68" w:rsidRDefault="001D4E68" w:rsidP="001D4E68">
      <w:pPr>
        <w:spacing w:after="200" w:line="276" w:lineRule="auto"/>
        <w:contextualSpacing/>
        <w:jc w:val="both"/>
        <w:outlineLvl w:val="2"/>
        <w:rPr>
          <w:rFonts w:ascii="Calibri" w:eastAsia="Calibri" w:hAnsi="Calibri"/>
          <w:lang w:val="es-ES_tradnl" w:eastAsia="en-US"/>
        </w:rPr>
      </w:pPr>
    </w:p>
    <w:p w:rsidR="001D4E68" w:rsidRPr="001D4E68" w:rsidRDefault="001D4E68" w:rsidP="001D4E68">
      <w:pPr>
        <w:spacing w:after="200" w:line="276" w:lineRule="auto"/>
        <w:contextualSpacing/>
        <w:jc w:val="both"/>
        <w:rPr>
          <w:rFonts w:ascii="Calibri" w:eastAsia="Calibri" w:hAnsi="Calibri"/>
          <w:lang w:val="es-ES_tradnl" w:eastAsia="en-US"/>
        </w:rPr>
      </w:pPr>
      <w:r w:rsidRPr="001D4E68">
        <w:rPr>
          <w:rFonts w:ascii="Calibri" w:eastAsia="Calibri" w:hAnsi="Calibri"/>
          <w:lang w:val="es-ES_tradnl" w:eastAsia="en-US"/>
        </w:rPr>
        <w:t>Asimismo, el recurso previo contra proyectos de Estatuto de Autonomía es contrario al artículo1.1 CE (pluralismo político), ya que Incorpora de hecho un veto político a proseguir su tramitación legislativa si el  Alto Tribunal  dictaminara su inconstitucionalidad. El recurso previo produce efectos perturbadores en el funcionamiento del sistema político y</w:t>
      </w:r>
      <w:r w:rsidRPr="001D4E68">
        <w:rPr>
          <w:rFonts w:ascii="Calibri" w:eastAsia="Calibri" w:hAnsi="Calibri"/>
          <w:lang w:eastAsia="en-US"/>
        </w:rPr>
        <w:t xml:space="preserve"> </w:t>
      </w:r>
      <w:r w:rsidRPr="001D4E68">
        <w:rPr>
          <w:rFonts w:ascii="Calibri" w:eastAsia="Calibri" w:hAnsi="Calibri"/>
          <w:lang w:val="es-ES_tradnl" w:eastAsia="en-US"/>
        </w:rPr>
        <w:t xml:space="preserve">constituye un instrumento de obstrucción parlamentaria, al convertir al Tribunal, en una tercera cámara legislativa y por ello en un órgano político de control. Se afecta con ello al procedimiento parlamentario; impidiéndose el debate en condiciones de igualdad y  sometiendo a los Parlamentos (autonómico y estatal) a una tutela inaceptable, contraria al principio de separación de poderes. El recurso previo supone, como algún autor ha señalado “un derecho de veto sobre la autoridad legislativa del Congreso”. </w:t>
      </w:r>
    </w:p>
    <w:p w:rsidR="001D4E68" w:rsidRPr="001D4E68" w:rsidRDefault="001D4E68" w:rsidP="001D4E68">
      <w:pPr>
        <w:spacing w:after="200" w:line="276" w:lineRule="auto"/>
        <w:contextualSpacing/>
        <w:jc w:val="both"/>
        <w:rPr>
          <w:rFonts w:ascii="Calibri" w:eastAsia="Calibri" w:hAnsi="Calibri"/>
          <w:lang w:val="es-ES_tradnl" w:eastAsia="en-US"/>
        </w:rPr>
      </w:pPr>
    </w:p>
    <w:p w:rsidR="001D4E68" w:rsidRPr="001D4E68" w:rsidRDefault="001D4E68" w:rsidP="001D4E68">
      <w:pPr>
        <w:spacing w:after="200" w:line="276" w:lineRule="auto"/>
        <w:contextualSpacing/>
        <w:jc w:val="both"/>
        <w:rPr>
          <w:rFonts w:ascii="Calibri" w:eastAsia="Calibri" w:hAnsi="Calibri"/>
          <w:lang w:val="es-ES_tradnl" w:eastAsia="en-US"/>
        </w:rPr>
      </w:pPr>
      <w:r w:rsidRPr="001D4E68">
        <w:rPr>
          <w:rFonts w:ascii="Calibri" w:eastAsia="Calibri" w:hAnsi="Calibri"/>
          <w:lang w:val="es-ES_tradnl" w:eastAsia="en-US"/>
        </w:rPr>
        <w:t xml:space="preserve">Un proyecto de Estatuto no es norma jurídica vinculante hasta su ratificación por referéndum, por lo tanto, hasta ese momento debe ser inmune al control del Tribunal. En el control previo lo que se busca mediante la reinstauración del recurso previo de inconstitucionalidad es  que determinadas voluntades democráticas no se puedan manifestar por los instrumentos democráticos previstos en la Constitución, que no son otros que la culminación de la tramitación parlamentaria de un Estatuto de Autonomía y su ratificación ciudadana por medio del referéndum. Con ello se vulnera el procedimiento constitucional y estatutariamente previsto para la aprobación estatutaria y sus modificaciones, así como el principio democrático, en cuanto impide la manifestación de una voluntad democrática por el cauce previsto legalmente, que no es otro que el refrendo del texto estatutario. El control constitucional de los Estatutos previsto en la Constitución lleva a que dicho control deba realizarse una vez finalizada la tramitación total, incluida el referéndum. Introducir un trámite previo resulta inconstitucional. </w:t>
      </w:r>
    </w:p>
    <w:p w:rsidR="001D4E68" w:rsidRPr="001D4E68" w:rsidRDefault="001D4E68" w:rsidP="001D4E68">
      <w:pPr>
        <w:spacing w:after="200" w:line="276" w:lineRule="auto"/>
        <w:contextualSpacing/>
        <w:jc w:val="both"/>
        <w:outlineLvl w:val="2"/>
        <w:rPr>
          <w:rFonts w:ascii="Calibri" w:eastAsia="Calibri" w:hAnsi="Calibri"/>
          <w:lang w:val="es-ES_tradnl" w:eastAsia="en-US"/>
        </w:rPr>
      </w:pPr>
    </w:p>
    <w:p w:rsidR="001D4E68" w:rsidRPr="001D4E68" w:rsidRDefault="001D4E68" w:rsidP="001D4E68">
      <w:pPr>
        <w:spacing w:after="200" w:line="276" w:lineRule="auto"/>
        <w:contextualSpacing/>
        <w:jc w:val="both"/>
        <w:rPr>
          <w:rFonts w:ascii="Calibri" w:eastAsia="Calibri" w:hAnsi="Calibri"/>
          <w:lang w:val="es-ES_tradnl" w:eastAsia="en-US"/>
        </w:rPr>
      </w:pPr>
      <w:r w:rsidRPr="001D4E68">
        <w:rPr>
          <w:rFonts w:ascii="Calibri" w:eastAsia="Calibri" w:hAnsi="Calibri"/>
          <w:lang w:val="es-ES_tradnl" w:eastAsia="en-US"/>
        </w:rPr>
        <w:t xml:space="preserve">No puede desconocerse que una sentencia estimatoria previa condiciona la voluntad ulterior de los Parlamentos autonómicos y de las Cortes Generales. El contenido de la deliberación parlamentaria, una vez conocida la sentencia estimatoria, ya no es libre en cuanto a sus fines.  Aquella adquiere la virtualidad de un dictamen admonitorio, de un acto “constitutivo”, que  predetermina el contenido final de la ley que había sido libremente establecido por la representación popular a lo largo del procedimiento legislativo. </w:t>
      </w:r>
    </w:p>
    <w:p w:rsidR="001D4E68" w:rsidRPr="001D4E68" w:rsidRDefault="001D4E68" w:rsidP="001D4E68">
      <w:pPr>
        <w:spacing w:after="200" w:line="276" w:lineRule="auto"/>
        <w:contextualSpacing/>
        <w:jc w:val="both"/>
        <w:outlineLvl w:val="2"/>
        <w:rPr>
          <w:rFonts w:ascii="Calibri" w:eastAsia="Calibri" w:hAnsi="Calibri"/>
          <w:lang w:val="es-ES_tradnl" w:eastAsia="en-US"/>
        </w:rPr>
      </w:pPr>
    </w:p>
    <w:p w:rsidR="001D4E68" w:rsidRPr="001D4E68" w:rsidRDefault="001D4E68" w:rsidP="001D4E68">
      <w:pPr>
        <w:spacing w:after="200" w:line="276" w:lineRule="auto"/>
        <w:contextualSpacing/>
        <w:jc w:val="both"/>
        <w:outlineLvl w:val="2"/>
        <w:rPr>
          <w:rFonts w:ascii="Calibri" w:eastAsia="Calibri" w:hAnsi="Calibri"/>
          <w:lang w:val="es-ES_tradnl" w:eastAsia="en-US"/>
        </w:rPr>
      </w:pPr>
      <w:r w:rsidRPr="001D4E68">
        <w:rPr>
          <w:rFonts w:ascii="Calibri" w:eastAsia="Calibri" w:hAnsi="Calibri"/>
          <w:lang w:val="es-ES_tradnl" w:eastAsia="en-US"/>
        </w:rPr>
        <w:t xml:space="preserve"> Si esto ocurre con relativa frecuencia cuando el Tribunal ejercita el control de constitucionalidad </w:t>
      </w:r>
      <w:r w:rsidRPr="001D4E68">
        <w:rPr>
          <w:rFonts w:ascii="Calibri" w:eastAsia="Calibri" w:hAnsi="Calibri"/>
          <w:i/>
          <w:lang w:val="es-ES_tradnl" w:eastAsia="en-US"/>
        </w:rPr>
        <w:t>a posteriori</w:t>
      </w:r>
      <w:r w:rsidRPr="001D4E68">
        <w:rPr>
          <w:rFonts w:ascii="Calibri" w:eastAsia="Calibri" w:hAnsi="Calibri"/>
          <w:lang w:val="es-ES_tradnl" w:eastAsia="en-US"/>
        </w:rPr>
        <w:t xml:space="preserve">, la tentación de poner en práctica aquel arsenal de instrumentos para fundamentar sus fallos se hace tremendamente mayor con el recurso previo, porque se conocerán de antemano las ventajas que toda depuración previa implica para el ordenamiento, a sabiendas, además, de que los efectos </w:t>
      </w:r>
      <w:r w:rsidRPr="001D4E68">
        <w:rPr>
          <w:rFonts w:ascii="Calibri" w:eastAsia="Calibri" w:hAnsi="Calibri"/>
          <w:i/>
          <w:lang w:val="es-ES_tradnl" w:eastAsia="en-US"/>
        </w:rPr>
        <w:t xml:space="preserve">erga omnes </w:t>
      </w:r>
      <w:r w:rsidRPr="001D4E68">
        <w:rPr>
          <w:rFonts w:ascii="Calibri" w:eastAsia="Calibri" w:hAnsi="Calibri"/>
          <w:lang w:val="es-ES_tradnl" w:eastAsia="en-US"/>
        </w:rPr>
        <w:t xml:space="preserve"> de sus sentencias se concentrarán sobre la actividad posterior del Parlamento. Sucede, entonces, que la tentación del Tribunal de vincular al Parlamento de una determinada interpretación o de corregir u orientar </w:t>
      </w:r>
      <w:r w:rsidRPr="001D4E68">
        <w:rPr>
          <w:rFonts w:ascii="Calibri" w:eastAsia="Calibri" w:hAnsi="Calibri"/>
          <w:i/>
          <w:lang w:val="es-ES_tradnl" w:eastAsia="en-US"/>
        </w:rPr>
        <w:t>pro futuro</w:t>
      </w:r>
      <w:r w:rsidRPr="001D4E68">
        <w:rPr>
          <w:rFonts w:ascii="Calibri" w:eastAsia="Calibri" w:hAnsi="Calibri"/>
          <w:lang w:val="es-ES_tradnl" w:eastAsia="en-US"/>
        </w:rPr>
        <w:t xml:space="preserve"> el contenido del proyecto de ley impugnado, acabará condicionando la autonomía de las cámaras e invadiendo su esfera. El Tribunal Constitucional actuaría así como legislador positivo, lo que le está absolutamente vedado en la Constitución.</w:t>
      </w:r>
    </w:p>
    <w:p w:rsidR="001D4E68" w:rsidRPr="001D4E68" w:rsidRDefault="001D4E68" w:rsidP="001D4E68">
      <w:pPr>
        <w:spacing w:after="200" w:line="276" w:lineRule="auto"/>
        <w:contextualSpacing/>
        <w:jc w:val="both"/>
        <w:outlineLvl w:val="2"/>
        <w:rPr>
          <w:rFonts w:ascii="Calibri" w:eastAsia="Calibri" w:hAnsi="Calibri"/>
          <w:lang w:val="es-ES_tradnl" w:eastAsia="en-US"/>
        </w:rPr>
      </w:pPr>
    </w:p>
    <w:p w:rsidR="001D4E68" w:rsidRPr="001D4E68" w:rsidRDefault="001D4E68" w:rsidP="001D4E68">
      <w:pPr>
        <w:spacing w:after="200" w:line="276" w:lineRule="auto"/>
        <w:contextualSpacing/>
        <w:jc w:val="both"/>
        <w:rPr>
          <w:rFonts w:ascii="Calibri" w:eastAsia="Calibri" w:hAnsi="Calibri"/>
          <w:lang w:val="es-ES_tradnl" w:eastAsia="en-US"/>
        </w:rPr>
      </w:pPr>
      <w:r w:rsidRPr="001D4E68">
        <w:rPr>
          <w:rFonts w:ascii="Calibri" w:eastAsia="Calibri" w:hAnsi="Calibri"/>
          <w:lang w:val="es-ES_tradnl" w:eastAsia="en-US"/>
        </w:rPr>
        <w:t xml:space="preserve">La injerencia del Tribunal en el procedimiento legislativo es un factor de desequilibrio y confusión de poderes limitando la soberanía política de los parlamentos y politizando la jurisdicción constitucional. El debate político debe ser absolutamente libre y la legitimidad lograda tras ese debate tiene que tener cauce constitucional, sin que el Tribunal Constitucional pueda mediante un análisis de constitucional impedirlo. </w:t>
      </w:r>
    </w:p>
    <w:p w:rsidR="001D4E68" w:rsidRPr="001D4E68" w:rsidRDefault="001D4E68" w:rsidP="001D4E68">
      <w:pPr>
        <w:spacing w:after="200" w:line="276" w:lineRule="auto"/>
        <w:ind w:left="1440"/>
        <w:contextualSpacing/>
        <w:jc w:val="both"/>
        <w:outlineLvl w:val="2"/>
        <w:rPr>
          <w:rFonts w:ascii="Calibri" w:eastAsia="Calibri" w:hAnsi="Calibri"/>
          <w:lang w:val="es-ES_tradnl" w:eastAsia="en-US"/>
        </w:rPr>
      </w:pPr>
    </w:p>
    <w:p w:rsidR="001D4E68" w:rsidRPr="001D4E68" w:rsidRDefault="001D4E68" w:rsidP="001D4E68">
      <w:pPr>
        <w:spacing w:after="200" w:line="276" w:lineRule="auto"/>
        <w:contextualSpacing/>
        <w:jc w:val="both"/>
        <w:outlineLvl w:val="2"/>
        <w:rPr>
          <w:rFonts w:ascii="Calibri" w:eastAsia="Calibri" w:hAnsi="Calibri"/>
          <w:lang w:val="es-ES_tradnl" w:eastAsia="en-US"/>
        </w:rPr>
      </w:pPr>
      <w:r w:rsidRPr="001D4E68">
        <w:rPr>
          <w:rFonts w:ascii="Calibri" w:eastAsia="Calibri" w:hAnsi="Calibri"/>
          <w:lang w:val="es-ES_tradnl" w:eastAsia="en-US"/>
        </w:rPr>
        <w:t>El recurso previo de inconstitucionalidad acentúa inexorablemente la politización del Tribunal. Convierte al Tribunal en auténtico árbitro de desacuerdo político por encima del interés de ejercer la defensa de las normas constitucionales como base de la convivencia.</w:t>
      </w:r>
    </w:p>
    <w:p w:rsidR="001D4E68" w:rsidRPr="001D4E68" w:rsidRDefault="001D4E68" w:rsidP="001D4E68">
      <w:pPr>
        <w:spacing w:after="200" w:line="276" w:lineRule="auto"/>
        <w:contextualSpacing/>
        <w:jc w:val="both"/>
        <w:outlineLvl w:val="2"/>
        <w:rPr>
          <w:rFonts w:ascii="Calibri" w:eastAsia="Calibri" w:hAnsi="Calibri"/>
          <w:lang w:val="es-ES_tradnl" w:eastAsia="en-US"/>
        </w:rPr>
      </w:pPr>
    </w:p>
    <w:p w:rsidR="001D4E68" w:rsidRPr="001D4E68" w:rsidRDefault="001D4E68" w:rsidP="001D4E68">
      <w:pPr>
        <w:spacing w:after="200" w:line="276" w:lineRule="auto"/>
        <w:contextualSpacing/>
        <w:jc w:val="both"/>
        <w:outlineLvl w:val="2"/>
        <w:rPr>
          <w:rFonts w:ascii="Calibri" w:eastAsia="Calibri" w:hAnsi="Calibri"/>
          <w:lang w:val="es-ES_tradnl" w:eastAsia="en-US"/>
        </w:rPr>
      </w:pPr>
      <w:r w:rsidRPr="001D4E68">
        <w:rPr>
          <w:rFonts w:ascii="Calibri" w:eastAsia="Calibri" w:hAnsi="Calibri"/>
          <w:lang w:val="es-ES_tradnl" w:eastAsia="en-US"/>
        </w:rPr>
        <w:t>De hecho se convierte al Alto Tribunal en instrumento para impedir que algunos asuntos puedan discutirse libremente en sede parlamentaria y coloca a los Estatutos en una posición distinta y degradada frente a la legislación del Estado e incluso respecto de las propias leyes autonómicas, que no están sometidas al recurso previo de inconstitucionalidad.</w:t>
      </w:r>
    </w:p>
    <w:p w:rsidR="001D4E68" w:rsidRPr="001D4E68" w:rsidRDefault="001D4E68" w:rsidP="001D4E68">
      <w:pPr>
        <w:spacing w:after="200" w:line="276" w:lineRule="auto"/>
        <w:ind w:left="1440"/>
        <w:contextualSpacing/>
        <w:jc w:val="both"/>
        <w:outlineLvl w:val="2"/>
        <w:rPr>
          <w:rFonts w:ascii="Calibri" w:eastAsia="Calibri" w:hAnsi="Calibri"/>
          <w:lang w:val="es-ES_tradnl" w:eastAsia="en-US"/>
        </w:rPr>
      </w:pPr>
    </w:p>
    <w:p w:rsidR="001D4E68" w:rsidRPr="001D4E68" w:rsidRDefault="001D4E68" w:rsidP="001D4E68">
      <w:pPr>
        <w:spacing w:after="200" w:line="276" w:lineRule="auto"/>
        <w:contextualSpacing/>
        <w:jc w:val="both"/>
        <w:rPr>
          <w:rFonts w:ascii="Calibri" w:eastAsia="Calibri" w:hAnsi="Calibri"/>
          <w:lang w:val="es-ES_tradnl" w:eastAsia="en-US"/>
        </w:rPr>
      </w:pPr>
      <w:r w:rsidRPr="001D4E68">
        <w:rPr>
          <w:rFonts w:ascii="Calibri" w:eastAsia="Calibri" w:hAnsi="Calibri"/>
          <w:lang w:val="es-ES_tradnl" w:eastAsia="en-US"/>
        </w:rPr>
        <w:t xml:space="preserve"> </w:t>
      </w:r>
    </w:p>
    <w:p w:rsidR="001D4E68" w:rsidRPr="001D4E68" w:rsidRDefault="001D4E68" w:rsidP="001D4E68">
      <w:pPr>
        <w:spacing w:after="200" w:line="276" w:lineRule="auto"/>
        <w:contextualSpacing/>
        <w:jc w:val="both"/>
        <w:rPr>
          <w:rFonts w:ascii="Calibri" w:eastAsia="Calibri" w:hAnsi="Calibri"/>
          <w:lang w:val="es-ES_tradnl" w:eastAsia="en-US"/>
        </w:rPr>
      </w:pPr>
      <w:r w:rsidRPr="001D4E68">
        <w:rPr>
          <w:rFonts w:ascii="Calibri" w:eastAsia="Calibri" w:hAnsi="Calibri"/>
          <w:lang w:val="es-ES_tradnl" w:eastAsia="en-US"/>
        </w:rPr>
        <w:t>Por último, lo anteriormente señalado queda agravado por causa de la  legitimación prevista para el recurso previo de inconstitucionalidad que es coincidente con la del recurso de inconstitucionalidad contemplado en el artículo 23 LOTC.  Se convierte con ello al recurso previo en arma política. Pone a disposición de una minoría un acuerdo adoptado legítimamente por la mayoría de las Cortes Generales y previamente en sede parlamentaria autonómica y con ello se trastoca profundamente el equilibrio entre los poderes territoriales del Estado.</w:t>
      </w:r>
    </w:p>
    <w:p w:rsidR="001D4E68" w:rsidRPr="001D4E68" w:rsidRDefault="001D4E68" w:rsidP="001D4E68">
      <w:pPr>
        <w:spacing w:after="200" w:line="276" w:lineRule="auto"/>
        <w:ind w:left="1440"/>
        <w:contextualSpacing/>
        <w:jc w:val="both"/>
        <w:outlineLvl w:val="2"/>
        <w:rPr>
          <w:rFonts w:ascii="Calibri" w:eastAsia="Calibri" w:hAnsi="Calibri"/>
          <w:lang w:val="es-ES_tradnl" w:eastAsia="en-US"/>
        </w:rPr>
      </w:pPr>
    </w:p>
    <w:p w:rsidR="001D4E68" w:rsidRPr="001D4E68" w:rsidRDefault="001D4E68" w:rsidP="001D4E68">
      <w:pPr>
        <w:spacing w:after="200" w:line="276" w:lineRule="auto"/>
        <w:contextualSpacing/>
        <w:jc w:val="both"/>
        <w:outlineLvl w:val="2"/>
        <w:rPr>
          <w:rFonts w:ascii="Calibri" w:eastAsia="Calibri" w:hAnsi="Calibri"/>
          <w:lang w:val="es-ES_tradnl" w:eastAsia="en-US"/>
        </w:rPr>
      </w:pPr>
      <w:r w:rsidRPr="001D4E68">
        <w:rPr>
          <w:rFonts w:ascii="Calibri" w:eastAsia="Calibri" w:hAnsi="Calibri"/>
          <w:lang w:val="es-ES_tradnl" w:eastAsia="en-US"/>
        </w:rPr>
        <w:t xml:space="preserve">En definitiva, el recurso previo plantea un cuestión universal, esto es, la naturaleza política o no del control previo y su coherencia entre los sistemas de justicia constitucional represiva y un procedimiento legislativo que no prevé la intervención suspensiva de órgano alguno no legislativo (incluida aquí la función sancionadora y promulgadora del Rey como Jefe de Estado, que a estos efectos es </w:t>
      </w:r>
      <w:r w:rsidRPr="001D4E68">
        <w:rPr>
          <w:rFonts w:ascii="Calibri" w:eastAsia="Calibri" w:hAnsi="Calibri"/>
          <w:i/>
          <w:lang w:val="es-ES_tradnl" w:eastAsia="en-US"/>
        </w:rPr>
        <w:t>órgano</w:t>
      </w:r>
      <w:r w:rsidRPr="001D4E68">
        <w:rPr>
          <w:rFonts w:ascii="Calibri" w:eastAsia="Calibri" w:hAnsi="Calibri"/>
          <w:lang w:val="es-ES_tradnl" w:eastAsia="en-US"/>
        </w:rPr>
        <w:t xml:space="preserve"> de ese procedimiento), lo que debilita la primacía parlamentaria en su condición de representante directo del pueblo soberano.</w:t>
      </w:r>
    </w:p>
    <w:p w:rsidR="001D4E68" w:rsidRPr="001D4E68" w:rsidRDefault="001D4E68" w:rsidP="001D4E68">
      <w:pPr>
        <w:spacing w:after="200" w:line="276" w:lineRule="auto"/>
        <w:contextualSpacing/>
        <w:jc w:val="both"/>
        <w:outlineLvl w:val="2"/>
        <w:rPr>
          <w:rFonts w:ascii="Calibri" w:eastAsia="Calibri" w:hAnsi="Calibri"/>
          <w:lang w:val="es-ES_tradnl" w:eastAsia="en-US"/>
        </w:rPr>
      </w:pPr>
    </w:p>
    <w:p w:rsidR="001D4E68" w:rsidRPr="001D4E68" w:rsidRDefault="001D4E68" w:rsidP="001D4E68">
      <w:pPr>
        <w:spacing w:after="200" w:line="276" w:lineRule="auto"/>
        <w:contextualSpacing/>
        <w:jc w:val="both"/>
        <w:outlineLvl w:val="2"/>
        <w:rPr>
          <w:rFonts w:ascii="Calibri" w:eastAsia="Calibri" w:hAnsi="Calibri"/>
          <w:lang w:val="es-ES_tradnl" w:eastAsia="en-US"/>
        </w:rPr>
      </w:pPr>
      <w:r w:rsidRPr="001D4E68">
        <w:rPr>
          <w:rFonts w:ascii="Calibri" w:eastAsia="Calibri" w:hAnsi="Calibri"/>
          <w:lang w:val="es-ES_tradnl" w:eastAsia="en-US"/>
        </w:rPr>
        <w:tab/>
      </w:r>
      <w:r w:rsidRPr="001D4E68">
        <w:rPr>
          <w:rFonts w:ascii="Calibri" w:eastAsia="Calibri" w:hAnsi="Calibri"/>
          <w:lang w:val="es-ES_tradnl" w:eastAsia="en-US"/>
        </w:rPr>
        <w:tab/>
      </w:r>
      <w:r w:rsidRPr="001D4E68">
        <w:rPr>
          <w:rFonts w:ascii="Calibri" w:eastAsia="Calibri" w:hAnsi="Calibri"/>
          <w:lang w:val="es-ES_tradnl" w:eastAsia="en-US"/>
        </w:rPr>
        <w:tab/>
      </w:r>
      <w:r w:rsidRPr="001D4E68">
        <w:rPr>
          <w:rFonts w:ascii="Calibri" w:eastAsia="Calibri" w:hAnsi="Calibri"/>
          <w:lang w:val="es-ES_tradnl" w:eastAsia="en-US"/>
        </w:rPr>
        <w:tab/>
      </w:r>
    </w:p>
    <w:p w:rsidR="001D4E68" w:rsidRPr="001D4E68" w:rsidRDefault="001D4E68" w:rsidP="001D4E68">
      <w:pPr>
        <w:spacing w:after="200" w:line="276" w:lineRule="auto"/>
        <w:contextualSpacing/>
        <w:jc w:val="both"/>
        <w:outlineLvl w:val="2"/>
        <w:rPr>
          <w:rFonts w:ascii="Calibri" w:eastAsia="Calibri" w:hAnsi="Calibri"/>
          <w:lang w:val="es-ES_tradnl" w:eastAsia="en-US"/>
        </w:rPr>
      </w:pPr>
      <w:r w:rsidRPr="001D4E68">
        <w:rPr>
          <w:rFonts w:ascii="Calibri" w:eastAsia="Calibri" w:hAnsi="Calibri"/>
          <w:lang w:val="es-ES_tradnl" w:eastAsia="en-US"/>
        </w:rPr>
        <w:tab/>
      </w:r>
      <w:r w:rsidRPr="001D4E68">
        <w:rPr>
          <w:rFonts w:ascii="Calibri" w:eastAsia="Calibri" w:hAnsi="Calibri"/>
          <w:lang w:val="es-ES_tradnl" w:eastAsia="en-US"/>
        </w:rPr>
        <w:tab/>
      </w:r>
      <w:r w:rsidRPr="001D4E68">
        <w:rPr>
          <w:rFonts w:ascii="Calibri" w:eastAsia="Calibri" w:hAnsi="Calibri"/>
          <w:lang w:val="es-ES_tradnl" w:eastAsia="en-US"/>
        </w:rPr>
        <w:tab/>
      </w:r>
      <w:r w:rsidRPr="001D4E68">
        <w:rPr>
          <w:rFonts w:ascii="Calibri" w:eastAsia="Calibri" w:hAnsi="Calibri"/>
          <w:lang w:val="es-ES_tradnl" w:eastAsia="en-US"/>
        </w:rPr>
        <w:tab/>
      </w:r>
      <w:r w:rsidRPr="001D4E68">
        <w:rPr>
          <w:rFonts w:ascii="Calibri" w:eastAsia="Calibri" w:hAnsi="Calibri"/>
          <w:lang w:val="es-ES_tradnl" w:eastAsia="en-US"/>
        </w:rPr>
        <w:tab/>
      </w:r>
      <w:r w:rsidRPr="001D4E68">
        <w:rPr>
          <w:rFonts w:ascii="Calibri" w:eastAsia="Calibri" w:hAnsi="Calibri"/>
          <w:lang w:val="es-ES_tradnl" w:eastAsia="en-US"/>
        </w:rPr>
        <w:tab/>
        <w:t xml:space="preserve">III </w:t>
      </w:r>
    </w:p>
    <w:p w:rsidR="001D4E68" w:rsidRPr="001D4E68" w:rsidRDefault="001D4E68" w:rsidP="001D4E68">
      <w:pPr>
        <w:autoSpaceDE w:val="0"/>
        <w:autoSpaceDN w:val="0"/>
        <w:adjustRightInd w:val="0"/>
        <w:spacing w:line="276" w:lineRule="auto"/>
        <w:ind w:right="-1"/>
        <w:jc w:val="both"/>
        <w:outlineLvl w:val="0"/>
        <w:rPr>
          <w:rFonts w:ascii="Calibri" w:eastAsia="Calibri" w:hAnsi="Calibri" w:cs="Calibri"/>
          <w:lang w:eastAsia="en-US"/>
        </w:rPr>
      </w:pPr>
      <w:r w:rsidRPr="001D4E68">
        <w:rPr>
          <w:rFonts w:ascii="Calibri" w:eastAsia="Calibri" w:hAnsi="Calibri" w:cs="Arial"/>
          <w:lang w:val="es-ES_tradnl" w:eastAsia="en-US"/>
        </w:rPr>
        <w:t xml:space="preserve">Por su parte, </w:t>
      </w:r>
      <w:r w:rsidRPr="001D4E68">
        <w:rPr>
          <w:rFonts w:ascii="Calibri" w:eastAsia="Calibri" w:hAnsi="Calibri" w:cs="Calibri"/>
          <w:lang w:eastAsia="en-US"/>
        </w:rPr>
        <w:t xml:space="preserve">la </w:t>
      </w:r>
      <w:r w:rsidR="00D858D5">
        <w:rPr>
          <w:rFonts w:ascii="Calibri" w:eastAsia="Calibri" w:hAnsi="Calibri" w:cs="Calibri"/>
          <w:lang w:eastAsia="en-US"/>
        </w:rPr>
        <w:t>Ley Orgánica</w:t>
      </w:r>
      <w:r w:rsidRPr="001D4E68">
        <w:rPr>
          <w:rFonts w:ascii="Calibri" w:eastAsia="Calibri" w:hAnsi="Calibri" w:cs="Calibri"/>
          <w:lang w:eastAsia="en-US"/>
        </w:rPr>
        <w:t xml:space="preserve"> 15/2015, de 16 de octubre, de reforma de la </w:t>
      </w:r>
      <w:r w:rsidR="00D858D5">
        <w:rPr>
          <w:rFonts w:ascii="Calibri" w:eastAsia="Calibri" w:hAnsi="Calibri" w:cs="Calibri"/>
          <w:lang w:eastAsia="en-US"/>
        </w:rPr>
        <w:t>Ley Orgánica</w:t>
      </w:r>
      <w:r w:rsidRPr="001D4E68">
        <w:rPr>
          <w:rFonts w:ascii="Calibri" w:eastAsia="Calibri" w:hAnsi="Calibri" w:cs="Calibri"/>
          <w:lang w:eastAsia="en-US"/>
        </w:rPr>
        <w:t xml:space="preserve"> 2/1979, de 3 de octubre, del Tribunal Constitucional, para la ejecución de las resoluciones del Tribunal Constitucional como garantía del estado de derecho,</w:t>
      </w:r>
      <w:r w:rsidRPr="001D4E68">
        <w:rPr>
          <w:rFonts w:ascii="Calibri" w:eastAsia="Calibri" w:hAnsi="Calibri" w:cs="Arial"/>
          <w:lang w:eastAsia="en-US"/>
        </w:rPr>
        <w:t xml:space="preserve"> señala en su Preámbulo, que su objeto  consiste en dotar al Tribunal Constitucional de nuevos instrumentos de ejecución para garantizar la efectividad de sus resoluciones, a fin de adaptarse a “nuevas situaciones que pretendan evitar o soslayar tal efectividad”.</w:t>
      </w:r>
    </w:p>
    <w:p w:rsidR="0070797B" w:rsidRDefault="0070797B" w:rsidP="001D4E68">
      <w:pPr>
        <w:spacing w:line="276" w:lineRule="auto"/>
        <w:jc w:val="both"/>
        <w:rPr>
          <w:rFonts w:ascii="Calibri" w:eastAsia="Calibri" w:hAnsi="Calibri"/>
          <w:lang w:eastAsia="en-US"/>
        </w:rPr>
      </w:pPr>
    </w:p>
    <w:p w:rsidR="001D4E68" w:rsidRPr="001D4E68" w:rsidRDefault="001D4E68" w:rsidP="001D4E68">
      <w:pPr>
        <w:spacing w:line="276" w:lineRule="auto"/>
        <w:jc w:val="both"/>
        <w:rPr>
          <w:rFonts w:ascii="Calibri" w:eastAsia="Calibri" w:hAnsi="Calibri"/>
          <w:lang w:eastAsia="en-US"/>
        </w:rPr>
      </w:pPr>
      <w:r w:rsidRPr="001D4E68">
        <w:rPr>
          <w:rFonts w:ascii="Calibri" w:eastAsia="Calibri" w:hAnsi="Calibri"/>
          <w:lang w:eastAsia="en-US"/>
        </w:rPr>
        <w:t xml:space="preserve">A tal fin, la </w:t>
      </w:r>
      <w:r w:rsidR="00D858D5">
        <w:rPr>
          <w:rFonts w:ascii="Calibri" w:eastAsia="Calibri" w:hAnsi="Calibri"/>
          <w:lang w:eastAsia="en-US"/>
        </w:rPr>
        <w:t>Ley Orgánica</w:t>
      </w:r>
      <w:r w:rsidRPr="001D4E68">
        <w:rPr>
          <w:rFonts w:ascii="Calibri" w:eastAsia="Calibri" w:hAnsi="Calibri"/>
          <w:lang w:eastAsia="en-US"/>
        </w:rPr>
        <w:t xml:space="preserve"> otorga al Tribunal nuevos mecanismos para garantizar el cumplimiento efectivo de sus resoluciones, bien por sí mismo, “bien a través de cualquier poder público”. Atribuyendo a sus resoluciones carácter de título ejecutivo y estableciendo en materia de ejecución la aplicación supletoria de la Ley de la Jurisdicción Contencioso-Administrativa.</w:t>
      </w:r>
    </w:p>
    <w:p w:rsidR="001D4E68" w:rsidRPr="001D4E68" w:rsidRDefault="001D4E68" w:rsidP="001D4E68">
      <w:pPr>
        <w:spacing w:line="276" w:lineRule="auto"/>
        <w:jc w:val="both"/>
        <w:rPr>
          <w:rFonts w:ascii="Calibri" w:eastAsia="Calibri" w:hAnsi="Calibri"/>
          <w:lang w:eastAsia="en-US"/>
        </w:rPr>
      </w:pPr>
    </w:p>
    <w:p w:rsidR="001D4E68" w:rsidRPr="001D4E68" w:rsidRDefault="001D4E68" w:rsidP="001D4E68">
      <w:pPr>
        <w:spacing w:line="276" w:lineRule="auto"/>
        <w:jc w:val="both"/>
        <w:rPr>
          <w:rFonts w:ascii="Calibri" w:eastAsia="Calibri" w:hAnsi="Calibri"/>
          <w:lang w:eastAsia="en-US"/>
        </w:rPr>
      </w:pPr>
      <w:r w:rsidRPr="001D4E68">
        <w:rPr>
          <w:rFonts w:ascii="Calibri" w:eastAsia="Calibri" w:hAnsi="Calibri"/>
          <w:lang w:eastAsia="en-US"/>
        </w:rPr>
        <w:t>En definitiva, la reforma estableció un régimen específico para los supuestos de incumplimiento de las resoluciones del Tribunal Constitucional, de acuerdo con el cual, el Tribunal solicitará un informe a quienes deban cumplirlas y, una vez se reciba el informe o vencido el plazo, el Tribunal podrá imponer multas coercitivas, acordar la suspensión de las autoridades o empleados públicos responsables del incumplimiento, o encomendar al Gobierno de la Nación, aun en funciones, la ejecución sustitutoria. Todo ello, sin perjuicio de que puedan exigirse las responsabilidades penales que correspondan. E incluso en “circunstancias de especial trascendencia constitucional” prevé medidas de ejecución “inaudita parte”, cuando se trate de ejecutar resoluciones sobre las que el Tribunal hubiera acordado la suspensión de una disposición, acto o actuación.</w:t>
      </w:r>
    </w:p>
    <w:p w:rsidR="001D4E68" w:rsidRPr="001D4E68" w:rsidRDefault="001D4E68" w:rsidP="001D4E68">
      <w:pPr>
        <w:spacing w:line="276" w:lineRule="auto"/>
        <w:jc w:val="both"/>
        <w:rPr>
          <w:rFonts w:ascii="Calibri" w:eastAsia="Calibri" w:hAnsi="Calibri"/>
          <w:lang w:eastAsia="en-US"/>
        </w:rPr>
      </w:pPr>
    </w:p>
    <w:p w:rsidR="00D858D5" w:rsidRDefault="001D4E68" w:rsidP="001D4E68">
      <w:pPr>
        <w:spacing w:before="240" w:line="276" w:lineRule="auto"/>
        <w:jc w:val="both"/>
        <w:rPr>
          <w:rFonts w:ascii="Calibri" w:eastAsia="Calibri" w:hAnsi="Calibri"/>
          <w:iCs/>
          <w:lang w:eastAsia="en-US"/>
        </w:rPr>
      </w:pPr>
      <w:r w:rsidRPr="001D4E68">
        <w:rPr>
          <w:rFonts w:ascii="Calibri" w:eastAsia="Calibri" w:hAnsi="Calibri"/>
          <w:iCs/>
          <w:lang w:eastAsia="en-US"/>
        </w:rPr>
        <w:t>La modificación normativa otorga una serie de mecanismos de ejecución al Alto Tribunal que</w:t>
      </w:r>
      <w:r w:rsidR="00D858D5">
        <w:rPr>
          <w:rFonts w:ascii="Calibri" w:eastAsia="Calibri" w:hAnsi="Calibri"/>
          <w:iCs/>
          <w:lang w:eastAsia="en-US"/>
        </w:rPr>
        <w:t xml:space="preserve"> sitúan</w:t>
      </w:r>
      <w:r w:rsidRPr="001D4E68">
        <w:rPr>
          <w:rFonts w:ascii="Calibri" w:eastAsia="Calibri" w:hAnsi="Calibri"/>
          <w:iCs/>
          <w:lang w:eastAsia="en-US"/>
        </w:rPr>
        <w:t xml:space="preserve"> a la jurisdicción constitucional por encima del resto de los órganos constitucionales en claro detrimento del principio de continuo y permanente diálogo entre órganos constitucionales que debe primar, más a</w:t>
      </w:r>
      <w:r w:rsidR="00D858D5">
        <w:rPr>
          <w:rFonts w:ascii="Calibri" w:eastAsia="Calibri" w:hAnsi="Calibri"/>
          <w:iCs/>
          <w:lang w:eastAsia="en-US"/>
        </w:rPr>
        <w:t>ú</w:t>
      </w:r>
      <w:r w:rsidRPr="001D4E68">
        <w:rPr>
          <w:rFonts w:ascii="Calibri" w:eastAsia="Calibri" w:hAnsi="Calibri"/>
          <w:iCs/>
          <w:lang w:eastAsia="en-US"/>
        </w:rPr>
        <w:t>n ante las situaciones excepcionales que prevé.</w:t>
      </w:r>
    </w:p>
    <w:p w:rsidR="00E2688F" w:rsidRPr="001D4E68" w:rsidRDefault="00E2688F" w:rsidP="001D4E68">
      <w:pPr>
        <w:spacing w:before="240" w:line="276" w:lineRule="auto"/>
        <w:jc w:val="both"/>
        <w:rPr>
          <w:rFonts w:ascii="Calibri" w:eastAsia="Calibri" w:hAnsi="Calibri"/>
          <w:iCs/>
          <w:lang w:eastAsia="en-US"/>
        </w:rPr>
      </w:pPr>
    </w:p>
    <w:p w:rsidR="00B92AAC" w:rsidRDefault="00D858D5" w:rsidP="00B92AAC">
      <w:pPr>
        <w:pBdr>
          <w:bottom w:val="dotted" w:sz="24" w:space="2" w:color="auto"/>
        </w:pBdr>
        <w:spacing w:after="200" w:line="276" w:lineRule="auto"/>
        <w:jc w:val="both"/>
        <w:rPr>
          <w:rFonts w:ascii="Calibri" w:eastAsia="Calibri" w:hAnsi="Calibri"/>
          <w:iCs/>
          <w:lang w:eastAsia="en-US"/>
        </w:rPr>
      </w:pPr>
      <w:r>
        <w:rPr>
          <w:rFonts w:ascii="Calibri" w:eastAsia="Calibri" w:hAnsi="Calibri"/>
          <w:iCs/>
          <w:lang w:eastAsia="en-US"/>
        </w:rPr>
        <w:t>Por ello, l</w:t>
      </w:r>
      <w:r w:rsidR="001D4E68" w:rsidRPr="001D4E68">
        <w:rPr>
          <w:rFonts w:ascii="Calibri" w:eastAsia="Calibri" w:hAnsi="Calibri"/>
          <w:iCs/>
          <w:lang w:eastAsia="en-US"/>
        </w:rPr>
        <w:t xml:space="preserve">a proposición de </w:t>
      </w:r>
      <w:r>
        <w:rPr>
          <w:rFonts w:ascii="Calibri" w:eastAsia="Calibri" w:hAnsi="Calibri"/>
          <w:iCs/>
          <w:lang w:eastAsia="en-US"/>
        </w:rPr>
        <w:t>Ley Orgánica</w:t>
      </w:r>
      <w:r w:rsidR="001D4E68" w:rsidRPr="001D4E68">
        <w:rPr>
          <w:rFonts w:ascii="Calibri" w:eastAsia="Calibri" w:hAnsi="Calibri"/>
          <w:iCs/>
          <w:lang w:eastAsia="en-US"/>
        </w:rPr>
        <w:t xml:space="preserve">  que ahora se presenta, derogando de facto la  </w:t>
      </w:r>
      <w:r>
        <w:rPr>
          <w:rFonts w:ascii="Calibri" w:eastAsia="Calibri" w:hAnsi="Calibri"/>
          <w:iCs/>
          <w:lang w:eastAsia="en-US"/>
        </w:rPr>
        <w:t>Ley Orgánica</w:t>
      </w:r>
      <w:r w:rsidR="001D4E68" w:rsidRPr="001D4E68">
        <w:rPr>
          <w:rFonts w:ascii="Calibri" w:eastAsia="Calibri" w:hAnsi="Calibri"/>
          <w:iCs/>
          <w:lang w:eastAsia="en-US"/>
        </w:rPr>
        <w:t xml:space="preserve"> 15/2015, de 16 de octubre, </w:t>
      </w:r>
      <w:r>
        <w:rPr>
          <w:rFonts w:ascii="Calibri" w:eastAsia="Calibri" w:hAnsi="Calibri"/>
          <w:iCs/>
          <w:lang w:eastAsia="en-US"/>
        </w:rPr>
        <w:t>repone la posición del Alto Tribunal a la configuración jurídica que tenía antes de su última reforma</w:t>
      </w:r>
      <w:r w:rsidR="00B92AAC">
        <w:rPr>
          <w:rFonts w:ascii="Calibri" w:eastAsia="Calibri" w:hAnsi="Calibri"/>
          <w:iCs/>
          <w:lang w:eastAsia="en-US"/>
        </w:rPr>
        <w:t>, que supuso un cambio</w:t>
      </w:r>
      <w:r w:rsidR="00B92AAC" w:rsidRPr="001D4E68">
        <w:rPr>
          <w:rFonts w:ascii="Calibri" w:eastAsia="Calibri" w:hAnsi="Calibri"/>
          <w:iCs/>
          <w:lang w:eastAsia="en-US"/>
        </w:rPr>
        <w:t xml:space="preserve"> sustancial del sistema político español </w:t>
      </w:r>
      <w:r w:rsidR="00E2688F">
        <w:rPr>
          <w:rFonts w:ascii="Calibri" w:eastAsia="Calibri" w:hAnsi="Calibri"/>
          <w:iCs/>
          <w:lang w:eastAsia="en-US"/>
        </w:rPr>
        <w:t>al</w:t>
      </w:r>
      <w:r w:rsidR="00B92AAC">
        <w:rPr>
          <w:rFonts w:ascii="Calibri" w:eastAsia="Calibri" w:hAnsi="Calibri"/>
          <w:iCs/>
          <w:lang w:eastAsia="en-US"/>
        </w:rPr>
        <w:t xml:space="preserve"> afect</w:t>
      </w:r>
      <w:r w:rsidR="00E2688F">
        <w:rPr>
          <w:rFonts w:ascii="Calibri" w:eastAsia="Calibri" w:hAnsi="Calibri"/>
          <w:iCs/>
          <w:lang w:eastAsia="en-US"/>
        </w:rPr>
        <w:t>ar</w:t>
      </w:r>
      <w:r w:rsidR="00B92AAC" w:rsidRPr="001D4E68">
        <w:rPr>
          <w:rFonts w:ascii="Calibri" w:eastAsia="Calibri" w:hAnsi="Calibri"/>
          <w:iCs/>
          <w:lang w:eastAsia="en-US"/>
        </w:rPr>
        <w:t xml:space="preserve"> al equilibrio entre poderes territoriales y por lo tanto al propio consenso constitucional logrado en 1978.</w:t>
      </w:r>
    </w:p>
    <w:p w:rsidR="001D4E68" w:rsidRDefault="001D4E68" w:rsidP="001D4E68">
      <w:pPr>
        <w:pBdr>
          <w:bottom w:val="dotted" w:sz="24" w:space="2" w:color="auto"/>
        </w:pBdr>
        <w:spacing w:after="200" w:line="276" w:lineRule="auto"/>
        <w:jc w:val="both"/>
        <w:rPr>
          <w:rFonts w:ascii="Calibri" w:eastAsia="Calibri" w:hAnsi="Calibri"/>
          <w:iCs/>
          <w:lang w:eastAsia="en-US"/>
        </w:rPr>
      </w:pPr>
      <w:r w:rsidRPr="001D4E68">
        <w:rPr>
          <w:rFonts w:ascii="Calibri" w:eastAsia="Calibri" w:hAnsi="Calibri"/>
          <w:iCs/>
          <w:lang w:eastAsia="en-US"/>
        </w:rPr>
        <w:t xml:space="preserve"> La reforma entró de lleno en la siempre difícil y compleja cuestión sobre la configuración de la jurisdicción constitucional y sus límites en un Estado democrático de naturaleza compuesta y en particular su articulación con el principio de separación de poderes y el reconocimiento de autonomía política a las entidades territoriales, sobre los que se ha articulado el consenso político constitucional de 1978.</w:t>
      </w:r>
      <w:r w:rsidR="00B92AAC">
        <w:rPr>
          <w:rFonts w:ascii="Calibri" w:eastAsia="Calibri" w:hAnsi="Calibri"/>
          <w:iCs/>
          <w:lang w:eastAsia="en-US"/>
        </w:rPr>
        <w:t xml:space="preserve"> Se ahondó </w:t>
      </w:r>
      <w:r w:rsidRPr="001D4E68">
        <w:rPr>
          <w:rFonts w:ascii="Calibri" w:eastAsia="Calibri" w:hAnsi="Calibri"/>
          <w:iCs/>
          <w:lang w:eastAsia="en-US"/>
        </w:rPr>
        <w:t xml:space="preserve"> aún más en el deterioro </w:t>
      </w:r>
      <w:r w:rsidRPr="001D4E68">
        <w:rPr>
          <w:rFonts w:ascii="Calibri" w:eastAsia="Calibri" w:hAnsi="Calibri"/>
          <w:i/>
          <w:iCs/>
          <w:lang w:eastAsia="en-US"/>
        </w:rPr>
        <w:t>in crescendo</w:t>
      </w:r>
      <w:r w:rsidRPr="001D4E68">
        <w:rPr>
          <w:rFonts w:ascii="Calibri" w:eastAsia="Calibri" w:hAnsi="Calibri"/>
          <w:iCs/>
          <w:lang w:eastAsia="en-US"/>
        </w:rPr>
        <w:t xml:space="preserve"> del prestigio del Tribunal Constitucional en su función de garante de la Constitución, por su constante politización a favor de un modelo concreto de Estado, que excluye otros modelos de convivencia posibles que también pueden ser defendidos en base al principio de pluralismo político que promulga la CE entre sus valores fundamentales (artículo 1.1).</w:t>
      </w:r>
    </w:p>
    <w:p w:rsidR="0070797B" w:rsidRPr="001D4E68" w:rsidRDefault="0070797B" w:rsidP="001D4E68">
      <w:pPr>
        <w:pBdr>
          <w:bottom w:val="dotted" w:sz="24" w:space="2" w:color="auto"/>
        </w:pBdr>
        <w:spacing w:after="200" w:line="276" w:lineRule="auto"/>
        <w:jc w:val="both"/>
        <w:rPr>
          <w:rFonts w:ascii="Calibri" w:eastAsia="Calibri" w:hAnsi="Calibri"/>
          <w:iCs/>
          <w:lang w:eastAsia="en-US"/>
        </w:rPr>
      </w:pPr>
    </w:p>
    <w:p w:rsidR="001D4E68" w:rsidRDefault="001D4E68" w:rsidP="001D4E68">
      <w:pPr>
        <w:pBdr>
          <w:bottom w:val="dotted" w:sz="24" w:space="1" w:color="auto"/>
        </w:pBdr>
        <w:spacing w:after="200" w:line="276" w:lineRule="auto"/>
        <w:jc w:val="both"/>
        <w:rPr>
          <w:rFonts w:ascii="Calibri" w:eastAsia="Calibri" w:hAnsi="Calibri"/>
          <w:iCs/>
          <w:lang w:eastAsia="en-US"/>
        </w:rPr>
      </w:pPr>
      <w:r w:rsidRPr="001D4E68">
        <w:rPr>
          <w:rFonts w:ascii="Calibri" w:eastAsia="Calibri" w:hAnsi="Calibri"/>
          <w:iCs/>
          <w:lang w:eastAsia="en-US"/>
        </w:rPr>
        <w:t xml:space="preserve">La modificación introducida por la </w:t>
      </w:r>
      <w:r w:rsidR="00D858D5">
        <w:rPr>
          <w:rFonts w:ascii="Calibri" w:eastAsia="Calibri" w:hAnsi="Calibri"/>
          <w:iCs/>
          <w:lang w:eastAsia="en-US"/>
        </w:rPr>
        <w:t>Ley Orgánica</w:t>
      </w:r>
      <w:r w:rsidRPr="001D4E68">
        <w:rPr>
          <w:rFonts w:ascii="Calibri" w:eastAsia="Calibri" w:hAnsi="Calibri"/>
          <w:iCs/>
          <w:lang w:eastAsia="en-US"/>
        </w:rPr>
        <w:t xml:space="preserve"> 15/2015, de 16 de octubre,   encuentra</w:t>
      </w:r>
      <w:r w:rsidR="00B92AAC">
        <w:rPr>
          <w:rFonts w:ascii="Calibri" w:eastAsia="Calibri" w:hAnsi="Calibri"/>
          <w:iCs/>
          <w:lang w:eastAsia="en-US"/>
        </w:rPr>
        <w:t xml:space="preserve"> un forzado</w:t>
      </w:r>
      <w:r w:rsidRPr="001D4E68">
        <w:rPr>
          <w:rFonts w:ascii="Calibri" w:eastAsia="Calibri" w:hAnsi="Calibri"/>
          <w:iCs/>
          <w:lang w:eastAsia="en-US"/>
        </w:rPr>
        <w:t xml:space="preserve"> amparo en el Título IX CE </w:t>
      </w:r>
      <w:r w:rsidR="00FA1B38">
        <w:rPr>
          <w:rFonts w:ascii="Calibri" w:eastAsia="Calibri" w:hAnsi="Calibri"/>
          <w:iCs/>
          <w:lang w:eastAsia="en-US"/>
        </w:rPr>
        <w:t xml:space="preserve">al </w:t>
      </w:r>
      <w:r w:rsidRPr="001D4E68">
        <w:rPr>
          <w:rFonts w:ascii="Calibri" w:eastAsia="Calibri" w:hAnsi="Calibri"/>
          <w:iCs/>
          <w:lang w:eastAsia="en-US"/>
        </w:rPr>
        <w:t>otorga</w:t>
      </w:r>
      <w:r w:rsidR="00FA1B38">
        <w:rPr>
          <w:rFonts w:ascii="Calibri" w:eastAsia="Calibri" w:hAnsi="Calibri"/>
          <w:iCs/>
          <w:lang w:eastAsia="en-US"/>
        </w:rPr>
        <w:t>r</w:t>
      </w:r>
      <w:r w:rsidRPr="001D4E68">
        <w:rPr>
          <w:rFonts w:ascii="Calibri" w:eastAsia="Calibri" w:hAnsi="Calibri"/>
          <w:iCs/>
          <w:lang w:eastAsia="en-US"/>
        </w:rPr>
        <w:t xml:space="preserve"> mayor poder al Tribunal Constitucional atribuyéndole funciones de ejecución de sus resoluciones de inconstitucionalidad, más allá de los efectos </w:t>
      </w:r>
      <w:r w:rsidR="00FA1B38" w:rsidRPr="001D4E68">
        <w:rPr>
          <w:rFonts w:ascii="Calibri" w:eastAsia="Calibri" w:hAnsi="Calibri"/>
          <w:iCs/>
          <w:lang w:eastAsia="en-US"/>
        </w:rPr>
        <w:t>m</w:t>
      </w:r>
      <w:r w:rsidR="00FA1B38">
        <w:rPr>
          <w:rFonts w:ascii="Calibri" w:eastAsia="Calibri" w:hAnsi="Calibri"/>
          <w:iCs/>
          <w:lang w:eastAsia="en-US"/>
        </w:rPr>
        <w:t>e</w:t>
      </w:r>
      <w:r w:rsidR="00FA1B38" w:rsidRPr="001D4E68">
        <w:rPr>
          <w:rFonts w:ascii="Calibri" w:eastAsia="Calibri" w:hAnsi="Calibri"/>
          <w:iCs/>
          <w:lang w:eastAsia="en-US"/>
        </w:rPr>
        <w:t>ramente</w:t>
      </w:r>
      <w:r w:rsidRPr="001D4E68">
        <w:rPr>
          <w:rFonts w:ascii="Calibri" w:eastAsia="Calibri" w:hAnsi="Calibri"/>
          <w:iCs/>
          <w:lang w:eastAsia="en-US"/>
        </w:rPr>
        <w:t xml:space="preserve"> declarativos.</w:t>
      </w:r>
    </w:p>
    <w:p w:rsidR="001D4E68" w:rsidRPr="001D4E68" w:rsidRDefault="00E2688F" w:rsidP="001D4E68">
      <w:pPr>
        <w:pBdr>
          <w:bottom w:val="dotted" w:sz="24" w:space="1" w:color="auto"/>
        </w:pBdr>
        <w:spacing w:after="200" w:line="276" w:lineRule="auto"/>
        <w:jc w:val="both"/>
        <w:rPr>
          <w:rFonts w:ascii="Calibri" w:eastAsia="Calibri" w:hAnsi="Calibri"/>
          <w:iCs/>
          <w:lang w:eastAsia="en-US"/>
        </w:rPr>
      </w:pPr>
      <w:r>
        <w:rPr>
          <w:rFonts w:ascii="Calibri" w:eastAsia="Calibri" w:hAnsi="Calibri"/>
          <w:iCs/>
          <w:lang w:eastAsia="en-US"/>
        </w:rPr>
        <w:t>Esto</w:t>
      </w:r>
      <w:r w:rsidR="001D4E68" w:rsidRPr="001D4E68">
        <w:rPr>
          <w:rFonts w:ascii="Calibri" w:eastAsia="Calibri" w:hAnsi="Calibri"/>
          <w:iCs/>
          <w:lang w:eastAsia="en-US"/>
        </w:rPr>
        <w:t xml:space="preserve"> se  comprueba en la facultad de suspensión de autoridades y empleados públicos, suspensión que</w:t>
      </w:r>
      <w:r w:rsidR="00FA1B38">
        <w:rPr>
          <w:rFonts w:ascii="Calibri" w:eastAsia="Calibri" w:hAnsi="Calibri"/>
          <w:iCs/>
          <w:lang w:eastAsia="en-US"/>
        </w:rPr>
        <w:t>, de hecho,</w:t>
      </w:r>
      <w:r w:rsidR="001D4E68" w:rsidRPr="001D4E68">
        <w:rPr>
          <w:rFonts w:ascii="Calibri" w:eastAsia="Calibri" w:hAnsi="Calibri"/>
          <w:iCs/>
          <w:lang w:eastAsia="en-US"/>
        </w:rPr>
        <w:t xml:space="preserve"> va más allá de la finalidad de ejecución de sus resoluciones</w:t>
      </w:r>
      <w:r w:rsidR="00FA1B38">
        <w:rPr>
          <w:rFonts w:ascii="Calibri" w:eastAsia="Calibri" w:hAnsi="Calibri"/>
          <w:iCs/>
          <w:lang w:eastAsia="en-US"/>
        </w:rPr>
        <w:t>,</w:t>
      </w:r>
      <w:r w:rsidR="001D4E68" w:rsidRPr="001D4E68">
        <w:rPr>
          <w:rFonts w:ascii="Calibri" w:eastAsia="Calibri" w:hAnsi="Calibri"/>
          <w:iCs/>
          <w:lang w:eastAsia="en-US"/>
        </w:rPr>
        <w:t xml:space="preserve"> convirtiendo</w:t>
      </w:r>
      <w:r>
        <w:rPr>
          <w:rFonts w:ascii="Calibri" w:eastAsia="Calibri" w:hAnsi="Calibri"/>
          <w:iCs/>
          <w:lang w:eastAsia="en-US"/>
        </w:rPr>
        <w:t>, de facto,</w:t>
      </w:r>
      <w:r w:rsidR="001D4E68" w:rsidRPr="001D4E68">
        <w:rPr>
          <w:rFonts w:ascii="Calibri" w:eastAsia="Calibri" w:hAnsi="Calibri"/>
          <w:iCs/>
          <w:lang w:eastAsia="en-US"/>
        </w:rPr>
        <w:t xml:space="preserve"> dicha facultad en una auténtica sanción que vulnera el art. 161 CE. Además</w:t>
      </w:r>
      <w:r w:rsidR="00FA1B38">
        <w:rPr>
          <w:rFonts w:ascii="Calibri" w:eastAsia="Calibri" w:hAnsi="Calibri"/>
          <w:iCs/>
          <w:lang w:eastAsia="en-US"/>
        </w:rPr>
        <w:t>,</w:t>
      </w:r>
      <w:r w:rsidR="001D4E68" w:rsidRPr="001D4E68">
        <w:rPr>
          <w:rFonts w:ascii="Calibri" w:eastAsia="Calibri" w:hAnsi="Calibri"/>
          <w:iCs/>
          <w:lang w:eastAsia="en-US"/>
        </w:rPr>
        <w:t xml:space="preserve"> institucionalmente, dichas funciones de ejecución, le colocan por encima de otros órganos constitucionales en claro detrimento del principio básico de la separación de poderes y del principio de diálogo institucional. La reforma otorga al Tribunal Constitucional funciones para ejecutar sus declaraciones de inconstitucionalidad, mediante sus propios medios o a través del auxilio de otros órganos jurisdiccionales o incluso del Gobierno (para la ejecución subsidiaria).</w:t>
      </w:r>
    </w:p>
    <w:p w:rsidR="00FA1B38" w:rsidRPr="001D4E68" w:rsidRDefault="001D4E68" w:rsidP="001D4E68">
      <w:pPr>
        <w:pBdr>
          <w:bottom w:val="dotted" w:sz="24" w:space="1" w:color="auto"/>
        </w:pBdr>
        <w:spacing w:before="240" w:after="200" w:line="276" w:lineRule="auto"/>
        <w:jc w:val="both"/>
        <w:rPr>
          <w:rFonts w:ascii="Calibri" w:eastAsia="Calibri" w:hAnsi="Calibri"/>
          <w:iCs/>
          <w:lang w:eastAsia="en-US"/>
        </w:rPr>
      </w:pPr>
      <w:r w:rsidRPr="001D4E68">
        <w:rPr>
          <w:rFonts w:ascii="Calibri" w:eastAsia="Calibri" w:hAnsi="Calibri"/>
          <w:iCs/>
          <w:lang w:eastAsia="en-US"/>
        </w:rPr>
        <w:t xml:space="preserve">Es cierto que la reforma operada por </w:t>
      </w:r>
      <w:r w:rsidR="00D858D5">
        <w:rPr>
          <w:rFonts w:ascii="Calibri" w:eastAsia="Calibri" w:hAnsi="Calibri"/>
          <w:iCs/>
          <w:lang w:eastAsia="en-US"/>
        </w:rPr>
        <w:t>Ley Orgánica</w:t>
      </w:r>
      <w:r w:rsidRPr="001D4E68">
        <w:rPr>
          <w:rFonts w:ascii="Calibri" w:eastAsia="Calibri" w:hAnsi="Calibri"/>
          <w:iCs/>
          <w:lang w:eastAsia="en-US"/>
        </w:rPr>
        <w:t xml:space="preserve"> 6/2007 introdujo la posibilidad de que el Tribunal impusiera multas a quienes incumplieran sus requerimientos, pero no se le otorgaban abiertamente funciones ejecutivas para los supuestos de declaraciones de inconstitucionalidad. La LOTC, antes de la reforma operada por la </w:t>
      </w:r>
      <w:r w:rsidR="00D858D5">
        <w:rPr>
          <w:rFonts w:ascii="Calibri" w:eastAsia="Calibri" w:hAnsi="Calibri"/>
          <w:iCs/>
          <w:lang w:eastAsia="en-US"/>
        </w:rPr>
        <w:t>Ley Orgánica</w:t>
      </w:r>
      <w:r w:rsidRPr="001D4E68">
        <w:rPr>
          <w:rFonts w:ascii="Calibri" w:eastAsia="Calibri" w:hAnsi="Calibri"/>
          <w:iCs/>
          <w:lang w:eastAsia="en-US"/>
        </w:rPr>
        <w:t xml:space="preserve"> 15/2015 efectivamente contaba como medidas de ejecución en sede jurisdiccional, además de las multas, la declaración de nulidad de las normas y actos declarados inconstitucionales,  así como la declaración general de su obligado cumplimento, el auxilio judicial, la anulación de las resoluciones que contravengan las resoluciones del Tribunal y, en los procedimientos de amparo, incluso el restablecimiento en la integridad del derecho al sujeto amparado.</w:t>
      </w:r>
    </w:p>
    <w:p w:rsidR="001D4E68" w:rsidRDefault="001D4E68" w:rsidP="001D4E68">
      <w:pPr>
        <w:pBdr>
          <w:bottom w:val="dotted" w:sz="24" w:space="1" w:color="auto"/>
        </w:pBdr>
        <w:spacing w:line="276" w:lineRule="auto"/>
        <w:jc w:val="both"/>
        <w:rPr>
          <w:rFonts w:ascii="Calibri" w:eastAsia="Calibri" w:hAnsi="Calibri"/>
          <w:iCs/>
          <w:lang w:eastAsia="en-US"/>
        </w:rPr>
      </w:pPr>
      <w:r w:rsidRPr="001D4E68">
        <w:rPr>
          <w:rFonts w:ascii="Calibri" w:eastAsia="Calibri" w:hAnsi="Calibri"/>
          <w:iCs/>
          <w:lang w:eastAsia="en-US"/>
        </w:rPr>
        <w:t xml:space="preserve">Efectivamente, la ejecución de las sentencias de inconstitucionalidad de una ley pueden requerir de actuaciones normativas, pero éstas sólo </w:t>
      </w:r>
      <w:r w:rsidR="00FA1B38">
        <w:rPr>
          <w:rFonts w:ascii="Calibri" w:eastAsia="Calibri" w:hAnsi="Calibri"/>
          <w:iCs/>
          <w:lang w:eastAsia="en-US"/>
        </w:rPr>
        <w:t xml:space="preserve">deben </w:t>
      </w:r>
      <w:r w:rsidRPr="001D4E68">
        <w:rPr>
          <w:rFonts w:ascii="Calibri" w:eastAsia="Calibri" w:hAnsi="Calibri"/>
          <w:iCs/>
          <w:lang w:eastAsia="en-US"/>
        </w:rPr>
        <w:t>ser tomadas por los miembros del parlamento correspondiente, sin que puedan ser impuestas por el órgano constitucional al que se le atribuye la función de máxim</w:t>
      </w:r>
      <w:r w:rsidR="00E2688F">
        <w:rPr>
          <w:rFonts w:ascii="Calibri" w:eastAsia="Calibri" w:hAnsi="Calibri"/>
          <w:iCs/>
          <w:lang w:eastAsia="en-US"/>
        </w:rPr>
        <w:t xml:space="preserve">e intérprete de la Constitución, es decir, </w:t>
      </w:r>
      <w:r w:rsidRPr="001D4E68">
        <w:rPr>
          <w:rFonts w:ascii="Calibri" w:eastAsia="Calibri" w:hAnsi="Calibri"/>
          <w:iCs/>
          <w:lang w:eastAsia="en-US"/>
        </w:rPr>
        <w:t>el Tribunal Constitucional.</w:t>
      </w:r>
    </w:p>
    <w:p w:rsidR="001D4E68" w:rsidRPr="001D4E68" w:rsidRDefault="001D4E68" w:rsidP="001D4E68">
      <w:pPr>
        <w:pBdr>
          <w:bottom w:val="dotted" w:sz="24" w:space="1" w:color="auto"/>
        </w:pBdr>
        <w:spacing w:line="276" w:lineRule="auto"/>
        <w:jc w:val="both"/>
        <w:rPr>
          <w:rFonts w:ascii="Calibri" w:eastAsia="Calibri" w:hAnsi="Calibri"/>
          <w:iCs/>
          <w:lang w:eastAsia="en-US"/>
        </w:rPr>
      </w:pPr>
    </w:p>
    <w:p w:rsidR="001D4E68" w:rsidRPr="001D4E68" w:rsidRDefault="001D4E68" w:rsidP="001D4E68">
      <w:pPr>
        <w:pBdr>
          <w:bottom w:val="dotted" w:sz="24" w:space="1" w:color="auto"/>
        </w:pBdr>
        <w:spacing w:line="276" w:lineRule="auto"/>
        <w:jc w:val="both"/>
        <w:rPr>
          <w:rFonts w:ascii="Calibri" w:eastAsia="Calibri" w:hAnsi="Calibri"/>
          <w:iCs/>
          <w:lang w:eastAsia="en-US"/>
        </w:rPr>
      </w:pPr>
      <w:r w:rsidRPr="001D4E68">
        <w:rPr>
          <w:rFonts w:ascii="Calibri" w:eastAsia="Calibri" w:hAnsi="Calibri"/>
          <w:iCs/>
          <w:lang w:eastAsia="en-US"/>
        </w:rPr>
        <w:t>Esta modificación, por lo tanto, supone un paso cualitativo en la configuración del papel institucional otorgado al Tribunal en la resolución de los conflictos políticos entre órganos constitucionales, que no se desprende</w:t>
      </w:r>
      <w:r w:rsidR="00FA1B38">
        <w:rPr>
          <w:rFonts w:ascii="Calibri" w:eastAsia="Calibri" w:hAnsi="Calibri"/>
          <w:iCs/>
          <w:lang w:eastAsia="en-US"/>
        </w:rPr>
        <w:t xml:space="preserve"> indubitadamente</w:t>
      </w:r>
      <w:r w:rsidRPr="001D4E68">
        <w:rPr>
          <w:rFonts w:ascii="Calibri" w:eastAsia="Calibri" w:hAnsi="Calibri"/>
          <w:iCs/>
          <w:lang w:eastAsia="en-US"/>
        </w:rPr>
        <w:t xml:space="preserve"> de la Constitución.  La Constitución establece un modelo</w:t>
      </w:r>
      <w:r w:rsidR="00FA1B38">
        <w:rPr>
          <w:rFonts w:ascii="Calibri" w:eastAsia="Calibri" w:hAnsi="Calibri"/>
          <w:iCs/>
          <w:lang w:eastAsia="en-US"/>
        </w:rPr>
        <w:t xml:space="preserve"> abierto respecto al órgano encargado de la ejecución de las resoluciones del Alto Tribunal, circunscribiendo su función, en cualquier caso, a la declaración de </w:t>
      </w:r>
      <w:proofErr w:type="spellStart"/>
      <w:r w:rsidR="00FA1B38">
        <w:rPr>
          <w:rFonts w:ascii="Calibri" w:eastAsia="Calibri" w:hAnsi="Calibri"/>
          <w:iCs/>
          <w:lang w:eastAsia="en-US"/>
        </w:rPr>
        <w:t>insconstitucionalidad</w:t>
      </w:r>
      <w:proofErr w:type="spellEnd"/>
      <w:r w:rsidRPr="001D4E68">
        <w:rPr>
          <w:rFonts w:ascii="Calibri" w:eastAsia="Calibri" w:hAnsi="Calibri"/>
          <w:iCs/>
          <w:lang w:eastAsia="en-US"/>
        </w:rPr>
        <w:t xml:space="preserve">, sin que la ejecución de dicha decisión </w:t>
      </w:r>
      <w:r w:rsidR="00FA1B38">
        <w:rPr>
          <w:rFonts w:ascii="Calibri" w:eastAsia="Calibri" w:hAnsi="Calibri"/>
          <w:iCs/>
          <w:lang w:eastAsia="en-US"/>
        </w:rPr>
        <w:t>convenga</w:t>
      </w:r>
      <w:r w:rsidRPr="001D4E68">
        <w:rPr>
          <w:rFonts w:ascii="Calibri" w:eastAsia="Calibri" w:hAnsi="Calibri"/>
          <w:iCs/>
          <w:lang w:eastAsia="en-US"/>
        </w:rPr>
        <w:t xml:space="preserve"> imponerse a otro órgano constitucional de manera coactiva y unilateral por parte del Tribunal a través de las medidas que la reforma introdujo. Al contrario, partiendo del delicado equilibrio institucional que la Constitución articula entre los poderes públicos y en el que se ubica el papel otorgado al Alto Tribunal en la resolución de conflictos políticos, la ejecución de sus resoluciones de inconstitucionalidad deben ser ejecutadas a través del continúo diálogo democrático entre las instituciones, sin que pueda imponerse un poder público por encima del otro. Lo contrario sería romper el consenso constitucional de 1978 y generaría una crisis sin precedentes al margen de los valores constitucionales.</w:t>
      </w:r>
    </w:p>
    <w:p w:rsidR="00E2688F" w:rsidRDefault="00E2688F" w:rsidP="0070797B">
      <w:pPr>
        <w:pBdr>
          <w:bottom w:val="dotted" w:sz="24" w:space="1" w:color="auto"/>
        </w:pBdr>
        <w:spacing w:after="200" w:line="276" w:lineRule="auto"/>
        <w:jc w:val="both"/>
        <w:rPr>
          <w:rFonts w:ascii="Calibri" w:eastAsia="Calibri" w:hAnsi="Calibri"/>
          <w:iCs/>
          <w:lang w:eastAsia="en-US"/>
        </w:rPr>
      </w:pPr>
    </w:p>
    <w:p w:rsidR="001D4E68" w:rsidRDefault="001D4E68" w:rsidP="0070797B">
      <w:pPr>
        <w:pBdr>
          <w:bottom w:val="dotted" w:sz="24" w:space="1" w:color="auto"/>
        </w:pBdr>
        <w:spacing w:after="200" w:line="276" w:lineRule="auto"/>
        <w:jc w:val="both"/>
        <w:rPr>
          <w:rFonts w:ascii="Calibri" w:eastAsia="Calibri" w:hAnsi="Calibri"/>
          <w:iCs/>
          <w:lang w:eastAsia="en-US"/>
        </w:rPr>
      </w:pPr>
      <w:r w:rsidRPr="001D4E68">
        <w:rPr>
          <w:rFonts w:ascii="Calibri" w:eastAsia="Calibri" w:hAnsi="Calibri"/>
          <w:iCs/>
          <w:lang w:eastAsia="en-US"/>
        </w:rPr>
        <w:t xml:space="preserve">La </w:t>
      </w:r>
      <w:r w:rsidR="00D858D5">
        <w:rPr>
          <w:rFonts w:ascii="Calibri" w:eastAsia="Calibri" w:hAnsi="Calibri"/>
          <w:iCs/>
          <w:lang w:eastAsia="en-US"/>
        </w:rPr>
        <w:t>Ley Orgánica</w:t>
      </w:r>
      <w:r w:rsidRPr="001D4E68">
        <w:rPr>
          <w:rFonts w:ascii="Calibri" w:eastAsia="Calibri" w:hAnsi="Calibri"/>
          <w:iCs/>
          <w:lang w:eastAsia="en-US"/>
        </w:rPr>
        <w:t xml:space="preserve"> 15/2015, de 16 de octubre, </w:t>
      </w:r>
      <w:r w:rsidR="00D51098">
        <w:rPr>
          <w:rFonts w:ascii="Calibri" w:eastAsia="Calibri" w:hAnsi="Calibri"/>
          <w:iCs/>
          <w:lang w:eastAsia="en-US"/>
        </w:rPr>
        <w:t xml:space="preserve">ha desequilibrado </w:t>
      </w:r>
      <w:r w:rsidRPr="001D4E68">
        <w:rPr>
          <w:rFonts w:ascii="Calibri" w:eastAsia="Calibri" w:hAnsi="Calibri"/>
          <w:iCs/>
          <w:lang w:eastAsia="en-US"/>
        </w:rPr>
        <w:t>el diseño y posición institucional del Tribunal Constitucional, otorgándole una función constitucional en materia de ejecución de las sentencias declaratorias de inconstitucionalidad y que afecta al principio de separación de poderes.</w:t>
      </w:r>
    </w:p>
    <w:p w:rsidR="001D4E68" w:rsidRDefault="001D4E68" w:rsidP="001D4E68">
      <w:pPr>
        <w:pBdr>
          <w:bottom w:val="dotted" w:sz="24" w:space="1" w:color="auto"/>
        </w:pBdr>
        <w:spacing w:line="276" w:lineRule="auto"/>
        <w:jc w:val="both"/>
        <w:rPr>
          <w:rFonts w:ascii="Calibri" w:eastAsia="Calibri" w:hAnsi="Calibri"/>
          <w:iCs/>
          <w:lang w:eastAsia="en-US"/>
        </w:rPr>
      </w:pPr>
      <w:r w:rsidRPr="001D4E68">
        <w:rPr>
          <w:rFonts w:ascii="Calibri" w:eastAsia="Calibri" w:hAnsi="Calibri"/>
          <w:iCs/>
          <w:lang w:eastAsia="en-US"/>
        </w:rPr>
        <w:t>Las medidas que la reforma pone a disposición del T</w:t>
      </w:r>
      <w:r w:rsidR="00D51098">
        <w:rPr>
          <w:rFonts w:ascii="Calibri" w:eastAsia="Calibri" w:hAnsi="Calibri"/>
          <w:iCs/>
          <w:lang w:eastAsia="en-US"/>
        </w:rPr>
        <w:t xml:space="preserve">ribunal </w:t>
      </w:r>
      <w:r w:rsidRPr="001D4E68">
        <w:rPr>
          <w:rFonts w:ascii="Calibri" w:eastAsia="Calibri" w:hAnsi="Calibri"/>
          <w:iCs/>
          <w:lang w:eastAsia="en-US"/>
        </w:rPr>
        <w:t>C</w:t>
      </w:r>
      <w:r w:rsidR="00D51098">
        <w:rPr>
          <w:rFonts w:ascii="Calibri" w:eastAsia="Calibri" w:hAnsi="Calibri"/>
          <w:iCs/>
          <w:lang w:eastAsia="en-US"/>
        </w:rPr>
        <w:t>onstitucional</w:t>
      </w:r>
      <w:r w:rsidRPr="001D4E68">
        <w:rPr>
          <w:rFonts w:ascii="Calibri" w:eastAsia="Calibri" w:hAnsi="Calibri"/>
          <w:iCs/>
          <w:lang w:eastAsia="en-US"/>
        </w:rPr>
        <w:t xml:space="preserve"> para garantizar la ejecución de sus sentencias, no son meras medidas dirigidas a asegurar</w:t>
      </w:r>
      <w:r w:rsidR="00D51098">
        <w:rPr>
          <w:rFonts w:ascii="Calibri" w:eastAsia="Calibri" w:hAnsi="Calibri"/>
          <w:iCs/>
          <w:lang w:eastAsia="en-US"/>
        </w:rPr>
        <w:t xml:space="preserve"> la ejecución, sino que poseen, de hecho, </w:t>
      </w:r>
      <w:r w:rsidRPr="001D4E68">
        <w:rPr>
          <w:rFonts w:ascii="Calibri" w:eastAsia="Calibri" w:hAnsi="Calibri"/>
          <w:iCs/>
          <w:lang w:eastAsia="en-US"/>
        </w:rPr>
        <w:t>contenido punitivo para las autoridades y empleados públicos sobre l</w:t>
      </w:r>
      <w:r w:rsidR="00D51098">
        <w:rPr>
          <w:rFonts w:ascii="Calibri" w:eastAsia="Calibri" w:hAnsi="Calibri"/>
          <w:iCs/>
          <w:lang w:eastAsia="en-US"/>
        </w:rPr>
        <w:t>os que se aplican,</w:t>
      </w:r>
      <w:r w:rsidRPr="001D4E68">
        <w:rPr>
          <w:rFonts w:ascii="Calibri" w:eastAsia="Calibri" w:hAnsi="Calibri"/>
          <w:iCs/>
          <w:lang w:eastAsia="en-US"/>
        </w:rPr>
        <w:t xml:space="preserve"> </w:t>
      </w:r>
      <w:r w:rsidR="00D51098">
        <w:rPr>
          <w:rFonts w:ascii="Calibri" w:eastAsia="Calibri" w:hAnsi="Calibri"/>
          <w:iCs/>
          <w:lang w:eastAsia="en-US"/>
        </w:rPr>
        <w:t>sin c</w:t>
      </w:r>
      <w:r w:rsidRPr="001D4E68">
        <w:rPr>
          <w:rFonts w:ascii="Calibri" w:eastAsia="Calibri" w:hAnsi="Calibri"/>
          <w:iCs/>
          <w:lang w:eastAsia="en-US"/>
        </w:rPr>
        <w:t>ont</w:t>
      </w:r>
      <w:r w:rsidR="00D51098">
        <w:rPr>
          <w:rFonts w:ascii="Calibri" w:eastAsia="Calibri" w:hAnsi="Calibri"/>
          <w:iCs/>
          <w:lang w:eastAsia="en-US"/>
        </w:rPr>
        <w:t>ener</w:t>
      </w:r>
      <w:r w:rsidRPr="001D4E68">
        <w:rPr>
          <w:rFonts w:ascii="Calibri" w:eastAsia="Calibri" w:hAnsi="Calibri"/>
          <w:iCs/>
          <w:lang w:eastAsia="en-US"/>
        </w:rPr>
        <w:t xml:space="preserve"> la definición básica de los comportamientos prohibidos, ni acota</w:t>
      </w:r>
      <w:r w:rsidR="00D51098">
        <w:rPr>
          <w:rFonts w:ascii="Calibri" w:eastAsia="Calibri" w:hAnsi="Calibri"/>
          <w:iCs/>
          <w:lang w:eastAsia="en-US"/>
        </w:rPr>
        <w:t>r</w:t>
      </w:r>
      <w:r w:rsidRPr="001D4E68">
        <w:rPr>
          <w:rFonts w:ascii="Calibri" w:eastAsia="Calibri" w:hAnsi="Calibri"/>
          <w:iCs/>
          <w:lang w:eastAsia="en-US"/>
        </w:rPr>
        <w:t xml:space="preserve"> materialmente el ámbito al que debe ceñirse el régimen punitivo, ni enuncia</w:t>
      </w:r>
      <w:r w:rsidR="00D51098">
        <w:rPr>
          <w:rFonts w:ascii="Calibri" w:eastAsia="Calibri" w:hAnsi="Calibri"/>
          <w:iCs/>
          <w:lang w:eastAsia="en-US"/>
        </w:rPr>
        <w:t>r</w:t>
      </w:r>
      <w:r w:rsidRPr="001D4E68">
        <w:rPr>
          <w:rFonts w:ascii="Calibri" w:eastAsia="Calibri" w:hAnsi="Calibri"/>
          <w:iCs/>
          <w:lang w:eastAsia="en-US"/>
        </w:rPr>
        <w:t xml:space="preserve"> su concreta finalidad, ni identifica</w:t>
      </w:r>
      <w:r w:rsidR="00D51098">
        <w:rPr>
          <w:rFonts w:ascii="Calibri" w:eastAsia="Calibri" w:hAnsi="Calibri"/>
          <w:iCs/>
          <w:lang w:eastAsia="en-US"/>
        </w:rPr>
        <w:t>r</w:t>
      </w:r>
      <w:r w:rsidRPr="001D4E68">
        <w:rPr>
          <w:rFonts w:ascii="Calibri" w:eastAsia="Calibri" w:hAnsi="Calibri"/>
          <w:iCs/>
          <w:lang w:eastAsia="en-US"/>
        </w:rPr>
        <w:t xml:space="preserve"> los sujetos responsables, </w:t>
      </w:r>
      <w:r w:rsidR="00D51098">
        <w:rPr>
          <w:rFonts w:ascii="Calibri" w:eastAsia="Calibri" w:hAnsi="Calibri"/>
          <w:iCs/>
          <w:lang w:eastAsia="en-US"/>
        </w:rPr>
        <w:t>ni describir</w:t>
      </w:r>
      <w:r w:rsidRPr="001D4E68">
        <w:rPr>
          <w:rFonts w:ascii="Calibri" w:eastAsia="Calibri" w:hAnsi="Calibri"/>
          <w:iCs/>
          <w:lang w:eastAsia="en-US"/>
        </w:rPr>
        <w:t xml:space="preserve"> suficientemente los elementos objetivos de las conductas antijurídicas. La ley incluye una amplia serie de conceptos jurídicos indeterminados que no permiten identificar certeramente el ámbito de lo prohibido ni, por tanto, las consecuencias de sus acciones. </w:t>
      </w:r>
      <w:r w:rsidR="00D51098">
        <w:rPr>
          <w:rFonts w:ascii="Calibri" w:eastAsia="Calibri" w:hAnsi="Calibri"/>
          <w:iCs/>
          <w:lang w:eastAsia="en-US"/>
        </w:rPr>
        <w:t xml:space="preserve">En definitiva, una total </w:t>
      </w:r>
      <w:r w:rsidRPr="001D4E68">
        <w:rPr>
          <w:rFonts w:ascii="Calibri" w:eastAsia="Calibri" w:hAnsi="Calibri"/>
          <w:iCs/>
          <w:lang w:eastAsia="en-US"/>
        </w:rPr>
        <w:t xml:space="preserve"> imprecisión en el supuesto de hecho de la norma y en su consecuencia jurídica</w:t>
      </w:r>
      <w:r w:rsidR="00D51098">
        <w:rPr>
          <w:rFonts w:ascii="Calibri" w:eastAsia="Calibri" w:hAnsi="Calibri"/>
          <w:iCs/>
          <w:lang w:eastAsia="en-US"/>
        </w:rPr>
        <w:t>.</w:t>
      </w:r>
      <w:r w:rsidRPr="001D4E68">
        <w:rPr>
          <w:rFonts w:ascii="Calibri" w:eastAsia="Calibri" w:hAnsi="Calibri"/>
          <w:iCs/>
          <w:lang w:eastAsia="en-US"/>
        </w:rPr>
        <w:t xml:space="preserve"> </w:t>
      </w:r>
    </w:p>
    <w:p w:rsidR="00D51098" w:rsidRPr="001D4E68" w:rsidRDefault="00D51098" w:rsidP="001D4E68">
      <w:pPr>
        <w:pBdr>
          <w:bottom w:val="dotted" w:sz="24" w:space="1" w:color="auto"/>
        </w:pBdr>
        <w:spacing w:line="276" w:lineRule="auto"/>
        <w:jc w:val="both"/>
        <w:rPr>
          <w:rFonts w:ascii="Calibri" w:eastAsia="Calibri" w:hAnsi="Calibri"/>
          <w:iCs/>
          <w:lang w:eastAsia="en-US"/>
        </w:rPr>
      </w:pPr>
    </w:p>
    <w:p w:rsidR="001D4E68" w:rsidRPr="001D4E68" w:rsidRDefault="001D4E68" w:rsidP="001D4E68">
      <w:pPr>
        <w:pBdr>
          <w:bottom w:val="dotted" w:sz="24" w:space="1" w:color="auto"/>
        </w:pBdr>
        <w:spacing w:line="276" w:lineRule="auto"/>
        <w:jc w:val="both"/>
        <w:rPr>
          <w:rFonts w:ascii="Calibri" w:eastAsia="Calibri" w:hAnsi="Calibri"/>
          <w:iCs/>
          <w:lang w:eastAsia="en-US"/>
        </w:rPr>
      </w:pPr>
      <w:r w:rsidRPr="001D4E68">
        <w:rPr>
          <w:rFonts w:ascii="Calibri" w:eastAsia="Calibri" w:hAnsi="Calibri"/>
          <w:iCs/>
          <w:lang w:eastAsia="en-US"/>
        </w:rPr>
        <w:t xml:space="preserve">Por otra parte, la </w:t>
      </w:r>
      <w:r w:rsidR="00D858D5">
        <w:rPr>
          <w:rFonts w:ascii="Calibri" w:eastAsia="Calibri" w:hAnsi="Calibri"/>
          <w:iCs/>
          <w:lang w:eastAsia="en-US"/>
        </w:rPr>
        <w:t>Ley Orgánica</w:t>
      </w:r>
      <w:r w:rsidRPr="001D4E68">
        <w:rPr>
          <w:rFonts w:ascii="Calibri" w:eastAsia="Calibri" w:hAnsi="Calibri"/>
          <w:iCs/>
          <w:lang w:eastAsia="en-US"/>
        </w:rPr>
        <w:t xml:space="preserve"> 15/2015, bajo la apariencia de simples medidas coercitivas contempla</w:t>
      </w:r>
      <w:r w:rsidR="00323DE2">
        <w:rPr>
          <w:rFonts w:ascii="Calibri" w:eastAsia="Calibri" w:hAnsi="Calibri"/>
          <w:iCs/>
          <w:lang w:eastAsia="en-US"/>
        </w:rPr>
        <w:t xml:space="preserve">, como se decía, </w:t>
      </w:r>
      <w:r w:rsidRPr="001D4E68">
        <w:rPr>
          <w:rFonts w:ascii="Calibri" w:eastAsia="Calibri" w:hAnsi="Calibri"/>
          <w:iCs/>
          <w:lang w:eastAsia="en-US"/>
        </w:rPr>
        <w:t>medidas</w:t>
      </w:r>
      <w:r w:rsidR="00323DE2">
        <w:rPr>
          <w:rFonts w:ascii="Calibri" w:eastAsia="Calibri" w:hAnsi="Calibri"/>
          <w:iCs/>
          <w:lang w:eastAsia="en-US"/>
        </w:rPr>
        <w:t xml:space="preserve"> que de hecho son </w:t>
      </w:r>
      <w:r w:rsidRPr="001D4E68">
        <w:rPr>
          <w:rFonts w:ascii="Calibri" w:eastAsia="Calibri" w:hAnsi="Calibri"/>
          <w:iCs/>
          <w:lang w:eastAsia="en-US"/>
        </w:rPr>
        <w:t>punitiv</w:t>
      </w:r>
      <w:r w:rsidR="00323DE2">
        <w:rPr>
          <w:rFonts w:ascii="Calibri" w:eastAsia="Calibri" w:hAnsi="Calibri"/>
          <w:iCs/>
          <w:lang w:eastAsia="en-US"/>
        </w:rPr>
        <w:t>as</w:t>
      </w:r>
      <w:r w:rsidRPr="001D4E68">
        <w:rPr>
          <w:rFonts w:ascii="Calibri" w:eastAsia="Calibri" w:hAnsi="Calibri"/>
          <w:iCs/>
          <w:lang w:eastAsia="en-US"/>
        </w:rPr>
        <w:t xml:space="preserve"> dirigidas a “autoridades y emple</w:t>
      </w:r>
      <w:r w:rsidR="00323DE2">
        <w:rPr>
          <w:rFonts w:ascii="Calibri" w:eastAsia="Calibri" w:hAnsi="Calibri"/>
          <w:iCs/>
          <w:lang w:eastAsia="en-US"/>
        </w:rPr>
        <w:t xml:space="preserve">ados públicos” (indeterminados); que, </w:t>
      </w:r>
      <w:r w:rsidRPr="001D4E68">
        <w:rPr>
          <w:rFonts w:ascii="Calibri" w:eastAsia="Calibri" w:hAnsi="Calibri"/>
          <w:iCs/>
          <w:lang w:eastAsia="en-US"/>
        </w:rPr>
        <w:t xml:space="preserve"> </w:t>
      </w:r>
      <w:r w:rsidR="00323DE2">
        <w:rPr>
          <w:rFonts w:ascii="Calibri" w:eastAsia="Calibri" w:hAnsi="Calibri"/>
          <w:iCs/>
          <w:lang w:eastAsia="en-US"/>
        </w:rPr>
        <w:t xml:space="preserve">inciden, de hecho, en </w:t>
      </w:r>
      <w:r w:rsidRPr="001D4E68">
        <w:rPr>
          <w:rFonts w:ascii="Calibri" w:eastAsia="Calibri" w:hAnsi="Calibri"/>
          <w:iCs/>
          <w:lang w:eastAsia="en-US"/>
        </w:rPr>
        <w:t xml:space="preserve">el régimen de aforamientos establecidos en el bloque de constitucionalidad (art. 71.3 para los Diputados y Senadores de las Cortes Generales; art 102 CE, para el Presidente y los miembros del Gobierno; y en el caso  de las instituciones de la Comunidad Autónoma del País Vasco  para los miembros del Parlamento Vasco, ex artículo 26.6 EAPV, y; para el Lehendakari y miembros del Gobierno, ex artículos 32.2 EAPV ). </w:t>
      </w:r>
    </w:p>
    <w:p w:rsidR="0070797B" w:rsidRDefault="0070797B" w:rsidP="001D4E68">
      <w:pPr>
        <w:pBdr>
          <w:bottom w:val="dotted" w:sz="24" w:space="1" w:color="auto"/>
        </w:pBdr>
        <w:spacing w:after="200" w:line="276" w:lineRule="auto"/>
        <w:jc w:val="both"/>
        <w:rPr>
          <w:rFonts w:ascii="Calibri" w:eastAsia="Calibri" w:hAnsi="Calibri"/>
          <w:iCs/>
          <w:lang w:eastAsia="en-US"/>
        </w:rPr>
      </w:pPr>
    </w:p>
    <w:p w:rsidR="001D4E68" w:rsidRDefault="00323DE2" w:rsidP="001D4E68">
      <w:pPr>
        <w:pBdr>
          <w:bottom w:val="dotted" w:sz="24" w:space="1" w:color="auto"/>
        </w:pBdr>
        <w:spacing w:after="200" w:line="276" w:lineRule="auto"/>
        <w:jc w:val="both"/>
        <w:rPr>
          <w:rFonts w:ascii="Calibri" w:eastAsia="Calibri" w:hAnsi="Calibri"/>
          <w:iCs/>
          <w:lang w:eastAsia="en-US"/>
        </w:rPr>
      </w:pPr>
      <w:r>
        <w:rPr>
          <w:rFonts w:ascii="Calibri" w:eastAsia="Calibri" w:hAnsi="Calibri"/>
          <w:iCs/>
          <w:lang w:eastAsia="en-US"/>
        </w:rPr>
        <w:t xml:space="preserve">Aforamientos cuya </w:t>
      </w:r>
      <w:r w:rsidR="001D4E68" w:rsidRPr="001D4E68">
        <w:rPr>
          <w:rFonts w:ascii="Calibri" w:eastAsia="Calibri" w:hAnsi="Calibri"/>
          <w:iCs/>
          <w:lang w:eastAsia="en-US"/>
        </w:rPr>
        <w:t xml:space="preserve"> razón de ser</w:t>
      </w:r>
      <w:r>
        <w:rPr>
          <w:rFonts w:ascii="Calibri" w:eastAsia="Calibri" w:hAnsi="Calibri"/>
          <w:iCs/>
          <w:lang w:eastAsia="en-US"/>
        </w:rPr>
        <w:t>, según el Tribunal Constitucional,</w:t>
      </w:r>
      <w:r w:rsidR="001D4E68" w:rsidRPr="001D4E68">
        <w:rPr>
          <w:rFonts w:ascii="Calibri" w:eastAsia="Calibri" w:hAnsi="Calibri"/>
          <w:iCs/>
          <w:lang w:eastAsia="en-US"/>
        </w:rPr>
        <w:t xml:space="preserve"> debe situarse en la necesidad de «proteger de forma cualificada la libertad, autonomía e independencia de los órganos constitucionales, interés superior del ordenamiento de todo Estado democrático de Derecho (art. 1.1 CE) e instrumento imprescindible para garantizar la efectiva separación entre los distintos poderes del Estado». «Esta protección jurídica cualificada se articula constitucionalmente [...] mediante el tratamiento de situaciones subjetivas no </w:t>
      </w:r>
      <w:proofErr w:type="spellStart"/>
      <w:r w:rsidR="001D4E68" w:rsidRPr="001D4E68">
        <w:rPr>
          <w:rFonts w:ascii="Calibri" w:eastAsia="Calibri" w:hAnsi="Calibri"/>
          <w:iCs/>
          <w:lang w:eastAsia="en-US"/>
        </w:rPr>
        <w:t>parangonables</w:t>
      </w:r>
      <w:proofErr w:type="spellEnd"/>
      <w:r w:rsidR="001D4E68" w:rsidRPr="001D4E68">
        <w:rPr>
          <w:rFonts w:ascii="Calibri" w:eastAsia="Calibri" w:hAnsi="Calibri"/>
          <w:iCs/>
          <w:lang w:eastAsia="en-US"/>
        </w:rPr>
        <w:t xml:space="preserve"> con las ordinarias, puesto que se atribuyen a los miembros de las Cortes Generales no en atención a un interés privado de sus titulares, sino a causa de un interés general, cual es el de asegurar su libertad e independencia en tanto que reflejo de la que se garantiza al órgano constitucional al que pertenecen».</w:t>
      </w:r>
    </w:p>
    <w:p w:rsidR="001D4E68" w:rsidRDefault="001D4E68" w:rsidP="001D4E68">
      <w:pPr>
        <w:pBdr>
          <w:bottom w:val="dotted" w:sz="24" w:space="1" w:color="auto"/>
        </w:pBdr>
        <w:spacing w:before="240" w:after="200" w:line="276" w:lineRule="auto"/>
        <w:jc w:val="both"/>
        <w:rPr>
          <w:rFonts w:ascii="Calibri" w:eastAsia="Calibri" w:hAnsi="Calibri"/>
          <w:iCs/>
          <w:lang w:eastAsia="en-US"/>
        </w:rPr>
      </w:pPr>
      <w:r w:rsidRPr="001D4E68">
        <w:rPr>
          <w:rFonts w:ascii="Calibri" w:eastAsia="Calibri" w:hAnsi="Calibri"/>
          <w:iCs/>
          <w:lang w:eastAsia="en-US"/>
        </w:rPr>
        <w:t>El régimen de aforamiento pretende proteger la independencia del órgano y el ejercicio de las funciones del cargo</w:t>
      </w:r>
      <w:r w:rsidR="00E2688F">
        <w:rPr>
          <w:rFonts w:ascii="Calibri" w:eastAsia="Calibri" w:hAnsi="Calibri"/>
          <w:iCs/>
          <w:lang w:eastAsia="en-US"/>
        </w:rPr>
        <w:t xml:space="preserve"> constitucionalmente relevantes;</w:t>
      </w:r>
      <w:r w:rsidRPr="001D4E68">
        <w:rPr>
          <w:rFonts w:ascii="Calibri" w:eastAsia="Calibri" w:hAnsi="Calibri"/>
          <w:iCs/>
          <w:lang w:eastAsia="en-US"/>
        </w:rPr>
        <w:t xml:space="preserve"> pues  bien, el régimen de suspensión de autoridades y empleados públicos que introduce la reforma anula</w:t>
      </w:r>
      <w:r w:rsidR="00323DE2">
        <w:rPr>
          <w:rFonts w:ascii="Calibri" w:eastAsia="Calibri" w:hAnsi="Calibri"/>
          <w:iCs/>
          <w:lang w:eastAsia="en-US"/>
        </w:rPr>
        <w:t xml:space="preserve">, de hecho, </w:t>
      </w:r>
      <w:r w:rsidRPr="001D4E68">
        <w:rPr>
          <w:rFonts w:ascii="Calibri" w:eastAsia="Calibri" w:hAnsi="Calibri"/>
          <w:iCs/>
          <w:lang w:eastAsia="en-US"/>
        </w:rPr>
        <w:t>el régimen de aforamiento establecido en el bloque de constitucionalidad.</w:t>
      </w:r>
    </w:p>
    <w:p w:rsidR="001D4E68" w:rsidRDefault="001D4E68" w:rsidP="00096F54">
      <w:pPr>
        <w:pBdr>
          <w:bottom w:val="dotted" w:sz="24" w:space="1" w:color="auto"/>
        </w:pBdr>
        <w:spacing w:before="240" w:after="200" w:line="276" w:lineRule="auto"/>
        <w:jc w:val="both"/>
        <w:rPr>
          <w:rFonts w:ascii="Calibri" w:eastAsia="Calibri" w:hAnsi="Calibri"/>
          <w:iCs/>
          <w:lang w:eastAsia="en-US"/>
        </w:rPr>
      </w:pPr>
      <w:r w:rsidRPr="001D4E68">
        <w:rPr>
          <w:rFonts w:ascii="Calibri" w:eastAsia="Calibri" w:hAnsi="Calibri"/>
          <w:iCs/>
          <w:lang w:eastAsia="en-US"/>
        </w:rPr>
        <w:t xml:space="preserve">Por otra parte, la reforma operada por la </w:t>
      </w:r>
      <w:r w:rsidR="00D858D5">
        <w:rPr>
          <w:rFonts w:ascii="Calibri" w:eastAsia="Calibri" w:hAnsi="Calibri"/>
          <w:iCs/>
          <w:lang w:eastAsia="en-US"/>
        </w:rPr>
        <w:t>Ley Orgánica</w:t>
      </w:r>
      <w:r w:rsidRPr="001D4E68">
        <w:rPr>
          <w:rFonts w:ascii="Calibri" w:eastAsia="Calibri" w:hAnsi="Calibri"/>
          <w:iCs/>
          <w:lang w:eastAsia="en-US"/>
        </w:rPr>
        <w:t xml:space="preserve"> 5/2015, de 16 de noviembre, también supone una</w:t>
      </w:r>
      <w:r w:rsidR="00323DE2">
        <w:rPr>
          <w:rFonts w:ascii="Calibri" w:eastAsia="Calibri" w:hAnsi="Calibri"/>
          <w:iCs/>
          <w:lang w:eastAsia="en-US"/>
        </w:rPr>
        <w:t xml:space="preserve"> afección</w:t>
      </w:r>
      <w:r w:rsidR="00096F54">
        <w:rPr>
          <w:rFonts w:ascii="Calibri" w:eastAsia="Calibri" w:hAnsi="Calibri"/>
          <w:iCs/>
          <w:lang w:eastAsia="en-US"/>
        </w:rPr>
        <w:t xml:space="preserve"> de hecho, </w:t>
      </w:r>
      <w:r w:rsidR="00323DE2">
        <w:rPr>
          <w:rFonts w:ascii="Calibri" w:eastAsia="Calibri" w:hAnsi="Calibri"/>
          <w:iCs/>
          <w:lang w:eastAsia="en-US"/>
        </w:rPr>
        <w:t>al</w:t>
      </w:r>
      <w:r w:rsidRPr="001D4E68">
        <w:rPr>
          <w:rFonts w:ascii="Calibri" w:eastAsia="Calibri" w:hAnsi="Calibri"/>
          <w:iCs/>
          <w:lang w:eastAsia="en-US"/>
        </w:rPr>
        <w:t xml:space="preserve"> sistema de controles de las Comunidades Autónomas por </w:t>
      </w:r>
      <w:r w:rsidR="00096F54">
        <w:rPr>
          <w:rFonts w:ascii="Calibri" w:eastAsia="Calibri" w:hAnsi="Calibri"/>
          <w:iCs/>
          <w:lang w:eastAsia="en-US"/>
        </w:rPr>
        <w:t>e</w:t>
      </w:r>
      <w:r w:rsidRPr="001D4E68">
        <w:rPr>
          <w:rFonts w:ascii="Calibri" w:eastAsia="Calibri" w:hAnsi="Calibri"/>
          <w:iCs/>
          <w:lang w:eastAsia="en-US"/>
        </w:rPr>
        <w:t>l Estado</w:t>
      </w:r>
      <w:r w:rsidR="00096F54">
        <w:rPr>
          <w:rFonts w:ascii="Calibri" w:eastAsia="Calibri" w:hAnsi="Calibri"/>
          <w:iCs/>
          <w:lang w:eastAsia="en-US"/>
        </w:rPr>
        <w:t xml:space="preserve"> proscrito</w:t>
      </w:r>
      <w:r w:rsidRPr="001D4E68">
        <w:rPr>
          <w:rFonts w:ascii="Calibri" w:eastAsia="Calibri" w:hAnsi="Calibri"/>
          <w:iCs/>
          <w:lang w:eastAsia="en-US"/>
        </w:rPr>
        <w:t xml:space="preserve"> </w:t>
      </w:r>
      <w:r w:rsidR="00096F54">
        <w:rPr>
          <w:rFonts w:ascii="Calibri" w:eastAsia="Calibri" w:hAnsi="Calibri"/>
          <w:iCs/>
          <w:lang w:eastAsia="en-US"/>
        </w:rPr>
        <w:t xml:space="preserve"> en la Constitución Española. Así, l</w:t>
      </w:r>
      <w:r w:rsidRPr="001D4E68">
        <w:rPr>
          <w:rFonts w:ascii="Calibri" w:eastAsia="Calibri" w:hAnsi="Calibri"/>
          <w:iCs/>
          <w:lang w:eastAsia="en-US"/>
        </w:rPr>
        <w:t>as medidas contempladas en el artículo 92.4 b) y 92.5) son en realidad modalidades de control distintas de las constitucionalmente previstas</w:t>
      </w:r>
      <w:r w:rsidR="00096F54">
        <w:rPr>
          <w:rFonts w:ascii="Calibri" w:eastAsia="Calibri" w:hAnsi="Calibri"/>
          <w:iCs/>
          <w:lang w:eastAsia="en-US"/>
        </w:rPr>
        <w:t>.</w:t>
      </w:r>
      <w:r w:rsidRPr="001D4E68">
        <w:rPr>
          <w:rFonts w:ascii="Calibri" w:eastAsia="Calibri" w:hAnsi="Calibri"/>
          <w:iCs/>
          <w:lang w:eastAsia="en-US"/>
        </w:rPr>
        <w:t xml:space="preserve"> </w:t>
      </w:r>
    </w:p>
    <w:p w:rsidR="001D4E68" w:rsidRPr="001D4E68" w:rsidRDefault="001D4E68" w:rsidP="001D4E68">
      <w:pPr>
        <w:pBdr>
          <w:bottom w:val="dotted" w:sz="24" w:space="1" w:color="auto"/>
        </w:pBdr>
        <w:spacing w:after="200" w:line="276" w:lineRule="auto"/>
        <w:jc w:val="both"/>
        <w:rPr>
          <w:rFonts w:ascii="Calibri" w:eastAsia="Calibri" w:hAnsi="Calibri"/>
          <w:iCs/>
          <w:lang w:eastAsia="en-US"/>
        </w:rPr>
      </w:pPr>
      <w:r w:rsidRPr="001D4E68">
        <w:rPr>
          <w:rFonts w:ascii="Calibri" w:eastAsia="Calibri" w:hAnsi="Calibri"/>
          <w:iCs/>
          <w:lang w:eastAsia="en-US"/>
        </w:rPr>
        <w:t>Concretamente, el régimen de suspensión de autoridades y empleados públicos no es sino un mecanismo</w:t>
      </w:r>
      <w:r w:rsidR="00096F54">
        <w:rPr>
          <w:rFonts w:ascii="Calibri" w:eastAsia="Calibri" w:hAnsi="Calibri"/>
          <w:iCs/>
          <w:lang w:eastAsia="en-US"/>
        </w:rPr>
        <w:t>, de hecho,</w:t>
      </w:r>
      <w:r w:rsidRPr="001D4E68">
        <w:rPr>
          <w:rFonts w:ascii="Calibri" w:eastAsia="Calibri" w:hAnsi="Calibri"/>
          <w:iCs/>
          <w:lang w:eastAsia="en-US"/>
        </w:rPr>
        <w:t xml:space="preserve"> equivalente a</w:t>
      </w:r>
      <w:r w:rsidR="00096F54">
        <w:rPr>
          <w:rFonts w:ascii="Calibri" w:eastAsia="Calibri" w:hAnsi="Calibri"/>
          <w:iCs/>
          <w:lang w:eastAsia="en-US"/>
        </w:rPr>
        <w:t xml:space="preserve">l previsto en el art. 155.2 CE, </w:t>
      </w:r>
      <w:r w:rsidRPr="001D4E68">
        <w:rPr>
          <w:rFonts w:ascii="Calibri" w:eastAsia="Calibri" w:hAnsi="Calibri"/>
          <w:iCs/>
          <w:lang w:eastAsia="en-US"/>
        </w:rPr>
        <w:t>según el cual “el Gobierno podrá dar instrucciones a todas las autoridades de las Comunidades Autónomas”, implica en definitiva una intervención directa sobre la autonomía sin sujeción alguna a las garantías de procedimiento previstas en el artículo 155 CE.</w:t>
      </w:r>
    </w:p>
    <w:p w:rsidR="00096F54" w:rsidRDefault="001D4E68" w:rsidP="001D4E68">
      <w:pPr>
        <w:pBdr>
          <w:bottom w:val="dotted" w:sz="24" w:space="1" w:color="auto"/>
        </w:pBdr>
        <w:spacing w:before="240" w:after="200" w:line="276" w:lineRule="auto"/>
        <w:jc w:val="both"/>
        <w:rPr>
          <w:rFonts w:ascii="Calibri" w:eastAsia="Calibri" w:hAnsi="Calibri"/>
          <w:iCs/>
          <w:lang w:eastAsia="en-US"/>
        </w:rPr>
      </w:pPr>
      <w:r w:rsidRPr="001D4E68">
        <w:rPr>
          <w:rFonts w:ascii="Calibri" w:eastAsia="Calibri" w:hAnsi="Calibri"/>
          <w:iCs/>
          <w:lang w:eastAsia="en-US"/>
        </w:rPr>
        <w:t>Por otra parte, las medidas previstas (suspensión en sus funciones, adopción de medidas necesarias por el Gobierno de la Nación o por el propio Tribunal Constitucional) suponen una actuación subsidiaria que implica</w:t>
      </w:r>
      <w:r w:rsidR="00096F54">
        <w:rPr>
          <w:rFonts w:ascii="Calibri" w:eastAsia="Calibri" w:hAnsi="Calibri"/>
          <w:iCs/>
          <w:lang w:eastAsia="en-US"/>
        </w:rPr>
        <w:t xml:space="preserve">, de hecho, </w:t>
      </w:r>
      <w:r w:rsidRPr="001D4E68">
        <w:rPr>
          <w:rFonts w:ascii="Calibri" w:eastAsia="Calibri" w:hAnsi="Calibri"/>
          <w:iCs/>
          <w:lang w:eastAsia="en-US"/>
        </w:rPr>
        <w:t xml:space="preserve">una forma de control sobre la actuación de la Administración autonómica, </w:t>
      </w:r>
      <w:r w:rsidR="00096F54">
        <w:rPr>
          <w:rFonts w:ascii="Calibri" w:eastAsia="Calibri" w:hAnsi="Calibri"/>
          <w:iCs/>
          <w:lang w:eastAsia="en-US"/>
        </w:rPr>
        <w:t>no oportuna con el principio de autonomía.</w:t>
      </w:r>
    </w:p>
    <w:p w:rsidR="001D4E68" w:rsidRPr="001D4E68" w:rsidRDefault="001D4E68" w:rsidP="00A837FA">
      <w:pPr>
        <w:pBdr>
          <w:bottom w:val="dotted" w:sz="24" w:space="1" w:color="auto"/>
        </w:pBdr>
        <w:spacing w:before="240" w:after="200" w:line="276" w:lineRule="auto"/>
        <w:jc w:val="both"/>
        <w:rPr>
          <w:rFonts w:ascii="Verdana" w:eastAsia="Calibri" w:hAnsi="Verdana"/>
          <w:iCs/>
          <w:sz w:val="22"/>
          <w:szCs w:val="22"/>
          <w:lang w:eastAsia="en-US"/>
        </w:rPr>
      </w:pPr>
      <w:r w:rsidRPr="001D4E68">
        <w:rPr>
          <w:rFonts w:ascii="Calibri" w:eastAsia="Calibri" w:hAnsi="Calibri"/>
          <w:iCs/>
          <w:lang w:eastAsia="en-US"/>
        </w:rPr>
        <w:t xml:space="preserve">No se trata de que ante la falta de adopción por parte de una Comunidad Autónoma de una decisión en relación a la ejecución de una resolución del Tribunal Constitucional  la Ley prevea la adopción de las medidas de “cumplimiento forzoso” , de medidas coercitivas que pretendan “forzar la voluntad o la conducta” (en la definición del Diccionario de la lengua española) de la Comunidad Autónoma incumplidora sino que, directamente, ya el Tribunal ya el Gobierno del Estado llevarán a término las resoluciones, sin posibilidad de que la Comunidad Autónoma adopte dichas medidas, sustituyendo a dicha Comunidad Autónoma en la adopción de las medidas oportunas para la ejecución de las resoluciones del Tribunal. Estamos pues en presencia de una injerencia indebida, innecesaria y desproporcionada. </w:t>
      </w:r>
    </w:p>
    <w:p w:rsidR="001D4E68" w:rsidRPr="001D4E68" w:rsidRDefault="001D4E68" w:rsidP="001D4E68">
      <w:pPr>
        <w:pBdr>
          <w:bottom w:val="dotted" w:sz="24" w:space="1" w:color="auto"/>
        </w:pBdr>
        <w:spacing w:after="200" w:line="276" w:lineRule="auto"/>
        <w:jc w:val="both"/>
        <w:rPr>
          <w:rFonts w:ascii="Verdana" w:eastAsia="Calibri" w:hAnsi="Verdana"/>
          <w:iCs/>
          <w:sz w:val="22"/>
          <w:szCs w:val="22"/>
          <w:lang w:eastAsia="en-US"/>
        </w:rPr>
      </w:pPr>
    </w:p>
    <w:p w:rsidR="001D4E68" w:rsidRPr="001D4E68" w:rsidRDefault="001D4E68" w:rsidP="001D4E68">
      <w:pPr>
        <w:autoSpaceDE w:val="0"/>
        <w:autoSpaceDN w:val="0"/>
        <w:adjustRightInd w:val="0"/>
        <w:spacing w:before="340" w:line="276" w:lineRule="auto"/>
        <w:ind w:right="-1"/>
        <w:jc w:val="both"/>
        <w:outlineLvl w:val="0"/>
        <w:rPr>
          <w:rFonts w:ascii="Calibri" w:eastAsia="Calibri" w:hAnsi="Calibri" w:cs="Calibri"/>
          <w:bCs/>
          <w:color w:val="000000"/>
          <w:lang w:eastAsia="en-US"/>
        </w:rPr>
      </w:pPr>
      <w:r w:rsidRPr="001D4E68">
        <w:rPr>
          <w:rFonts w:ascii="Calibri" w:eastAsia="Calibri" w:hAnsi="Calibri" w:cs="Calibri"/>
          <w:color w:val="000000"/>
          <w:lang w:eastAsia="en-US"/>
        </w:rPr>
        <w:t xml:space="preserve">Artículo único. </w:t>
      </w:r>
      <w:r w:rsidRPr="001D4E68">
        <w:rPr>
          <w:rFonts w:ascii="Calibri" w:eastAsia="Calibri" w:hAnsi="Calibri" w:cs="Calibri"/>
          <w:bCs/>
          <w:color w:val="000000"/>
          <w:lang w:eastAsia="en-US"/>
        </w:rPr>
        <w:t xml:space="preserve">Modificación de La </w:t>
      </w:r>
      <w:r w:rsidR="00D858D5">
        <w:rPr>
          <w:rFonts w:ascii="Calibri" w:eastAsia="Calibri" w:hAnsi="Calibri" w:cs="Calibri"/>
          <w:bCs/>
          <w:color w:val="000000"/>
          <w:lang w:eastAsia="en-US"/>
        </w:rPr>
        <w:t>Ley Orgánica</w:t>
      </w:r>
      <w:r w:rsidRPr="001D4E68">
        <w:rPr>
          <w:rFonts w:ascii="Calibri" w:eastAsia="Calibri" w:hAnsi="Calibri" w:cs="Calibri"/>
          <w:bCs/>
          <w:color w:val="000000"/>
          <w:lang w:eastAsia="en-US"/>
        </w:rPr>
        <w:t xml:space="preserve"> 2/1979, De 3 de Octubre, del Tribunal Constitucional.</w:t>
      </w:r>
    </w:p>
    <w:p w:rsidR="001D4E68" w:rsidRPr="001D4E68" w:rsidRDefault="001D4E68" w:rsidP="001D4E68">
      <w:pPr>
        <w:autoSpaceDE w:val="0"/>
        <w:autoSpaceDN w:val="0"/>
        <w:adjustRightInd w:val="0"/>
        <w:spacing w:line="276" w:lineRule="auto"/>
        <w:ind w:right="-1"/>
        <w:jc w:val="both"/>
        <w:rPr>
          <w:rFonts w:ascii="Calibri" w:eastAsia="Calibri" w:hAnsi="Calibri" w:cs="Calibri"/>
          <w:color w:val="000000"/>
          <w:lang w:eastAsia="en-US"/>
        </w:rPr>
      </w:pPr>
    </w:p>
    <w:p w:rsidR="001D4E68" w:rsidRPr="001D4E68" w:rsidRDefault="001D4E68" w:rsidP="001D4E68">
      <w:pPr>
        <w:autoSpaceDE w:val="0"/>
        <w:autoSpaceDN w:val="0"/>
        <w:adjustRightInd w:val="0"/>
        <w:spacing w:line="276" w:lineRule="auto"/>
        <w:ind w:right="-1"/>
        <w:jc w:val="both"/>
        <w:rPr>
          <w:rFonts w:ascii="Calibri" w:eastAsia="Calibri" w:hAnsi="Calibri" w:cs="Calibri"/>
          <w:color w:val="000000"/>
          <w:lang w:eastAsia="en-US"/>
        </w:rPr>
      </w:pPr>
    </w:p>
    <w:p w:rsidR="001D4E68" w:rsidRPr="001D4E68" w:rsidRDefault="001D4E68" w:rsidP="001D4E68">
      <w:pPr>
        <w:autoSpaceDE w:val="0"/>
        <w:autoSpaceDN w:val="0"/>
        <w:adjustRightInd w:val="0"/>
        <w:spacing w:line="276" w:lineRule="auto"/>
        <w:ind w:right="-1"/>
        <w:jc w:val="both"/>
        <w:rPr>
          <w:rFonts w:ascii="Calibri" w:eastAsia="Calibri" w:hAnsi="Calibri" w:cs="Calibri"/>
          <w:color w:val="000000"/>
          <w:lang w:eastAsia="en-US"/>
        </w:rPr>
      </w:pPr>
      <w:r w:rsidRPr="001D4E68">
        <w:rPr>
          <w:rFonts w:ascii="Calibri" w:eastAsia="Calibri" w:hAnsi="Calibri" w:cs="Calibri"/>
          <w:color w:val="000000"/>
          <w:lang w:eastAsia="en-US"/>
        </w:rPr>
        <w:t xml:space="preserve">Primero. Se suprime epígrafe e) bis en el apartado uno del artículo segundo. </w:t>
      </w:r>
    </w:p>
    <w:p w:rsidR="001D4E68" w:rsidRPr="001D4E68" w:rsidRDefault="001D4E68" w:rsidP="001D4E68">
      <w:pPr>
        <w:autoSpaceDE w:val="0"/>
        <w:autoSpaceDN w:val="0"/>
        <w:adjustRightInd w:val="0"/>
        <w:spacing w:before="280" w:line="276" w:lineRule="auto"/>
        <w:ind w:right="-1"/>
        <w:jc w:val="both"/>
        <w:rPr>
          <w:rFonts w:ascii="Calibri" w:eastAsia="Calibri" w:hAnsi="Calibri" w:cs="Calibri"/>
          <w:color w:val="000000"/>
          <w:lang w:eastAsia="en-US"/>
        </w:rPr>
      </w:pPr>
      <w:r w:rsidRPr="001D4E68">
        <w:rPr>
          <w:rFonts w:ascii="Calibri" w:eastAsia="Calibri" w:hAnsi="Calibri" w:cs="Calibri"/>
          <w:color w:val="000000"/>
          <w:lang w:eastAsia="en-US"/>
        </w:rPr>
        <w:t xml:space="preserve"> Segundo. Se suprime epígrafe d) bis en el párrafo uno del artículo diez. </w:t>
      </w:r>
    </w:p>
    <w:p w:rsidR="001D4E68" w:rsidRPr="001D4E68" w:rsidRDefault="001D4E68" w:rsidP="001D4E68">
      <w:pPr>
        <w:autoSpaceDE w:val="0"/>
        <w:autoSpaceDN w:val="0"/>
        <w:adjustRightInd w:val="0"/>
        <w:spacing w:line="276" w:lineRule="auto"/>
        <w:ind w:right="-1"/>
        <w:jc w:val="both"/>
        <w:rPr>
          <w:rFonts w:ascii="Calibri" w:eastAsia="Calibri" w:hAnsi="Calibri" w:cs="Calibri"/>
          <w:color w:val="000000"/>
          <w:lang w:eastAsia="en-US"/>
        </w:rPr>
      </w:pPr>
    </w:p>
    <w:p w:rsidR="001D4E68" w:rsidRPr="001D4E68" w:rsidRDefault="001D4E68" w:rsidP="001D4E68">
      <w:pPr>
        <w:autoSpaceDE w:val="0"/>
        <w:autoSpaceDN w:val="0"/>
        <w:adjustRightInd w:val="0"/>
        <w:spacing w:line="276" w:lineRule="auto"/>
        <w:ind w:right="-1"/>
        <w:jc w:val="both"/>
        <w:rPr>
          <w:rFonts w:ascii="Calibri" w:eastAsia="Calibri" w:hAnsi="Calibri" w:cs="Calibri"/>
          <w:color w:val="000000"/>
          <w:lang w:eastAsia="en-US"/>
        </w:rPr>
      </w:pPr>
      <w:r w:rsidRPr="001D4E68">
        <w:rPr>
          <w:rFonts w:ascii="Calibri" w:eastAsia="Calibri" w:hAnsi="Calibri" w:cs="Calibri"/>
          <w:color w:val="000000"/>
          <w:lang w:eastAsia="en-US"/>
        </w:rPr>
        <w:t xml:space="preserve">Tercero. Se suprime el Título VI BIS </w:t>
      </w:r>
    </w:p>
    <w:p w:rsidR="001D4E68" w:rsidRPr="001D4E68" w:rsidRDefault="001D4E68" w:rsidP="001D4E68">
      <w:pPr>
        <w:autoSpaceDE w:val="0"/>
        <w:autoSpaceDN w:val="0"/>
        <w:adjustRightInd w:val="0"/>
        <w:spacing w:line="276" w:lineRule="auto"/>
        <w:ind w:right="-1"/>
        <w:jc w:val="both"/>
        <w:rPr>
          <w:rFonts w:ascii="Calibri" w:eastAsia="Calibri" w:hAnsi="Calibri" w:cs="Calibri"/>
          <w:color w:val="000000"/>
          <w:lang w:eastAsia="en-US"/>
        </w:rPr>
      </w:pPr>
    </w:p>
    <w:p w:rsidR="001D4E68" w:rsidRPr="001D4E68" w:rsidRDefault="001D4E68" w:rsidP="001D4E68">
      <w:pPr>
        <w:autoSpaceDE w:val="0"/>
        <w:autoSpaceDN w:val="0"/>
        <w:adjustRightInd w:val="0"/>
        <w:spacing w:line="276" w:lineRule="auto"/>
        <w:ind w:right="-1"/>
        <w:jc w:val="both"/>
        <w:rPr>
          <w:rFonts w:ascii="Calibri" w:eastAsia="Calibri" w:hAnsi="Calibri" w:cs="Calibri"/>
          <w:color w:val="000000"/>
          <w:lang w:eastAsia="en-US"/>
        </w:rPr>
      </w:pPr>
      <w:r w:rsidRPr="001D4E68">
        <w:rPr>
          <w:rFonts w:ascii="Calibri" w:eastAsia="Calibri" w:hAnsi="Calibri" w:cs="Calibri"/>
          <w:color w:val="000000"/>
          <w:lang w:eastAsia="en-US"/>
        </w:rPr>
        <w:t xml:space="preserve">Cuarto. Se suprime el artículo  79. </w:t>
      </w:r>
    </w:p>
    <w:p w:rsidR="001D4E68" w:rsidRPr="001D4E68" w:rsidRDefault="001D4E68" w:rsidP="001D4E68">
      <w:pPr>
        <w:autoSpaceDE w:val="0"/>
        <w:autoSpaceDN w:val="0"/>
        <w:adjustRightInd w:val="0"/>
        <w:spacing w:line="276" w:lineRule="auto"/>
        <w:ind w:right="-1"/>
        <w:jc w:val="both"/>
        <w:rPr>
          <w:rFonts w:ascii="Calibri" w:eastAsia="Calibri" w:hAnsi="Calibri" w:cs="Calibri"/>
          <w:color w:val="000000"/>
          <w:lang w:eastAsia="en-US"/>
        </w:rPr>
      </w:pPr>
    </w:p>
    <w:p w:rsidR="001D4E68" w:rsidRPr="001D4E68" w:rsidRDefault="001D4E68" w:rsidP="001D4E68">
      <w:pPr>
        <w:autoSpaceDE w:val="0"/>
        <w:autoSpaceDN w:val="0"/>
        <w:adjustRightInd w:val="0"/>
        <w:spacing w:line="276" w:lineRule="auto"/>
        <w:ind w:right="-1"/>
        <w:jc w:val="both"/>
        <w:rPr>
          <w:rFonts w:ascii="Calibri" w:eastAsia="Calibri" w:hAnsi="Calibri" w:cs="Calibri"/>
          <w:color w:val="000000"/>
          <w:lang w:eastAsia="en-US"/>
        </w:rPr>
      </w:pPr>
      <w:r w:rsidRPr="001D4E68">
        <w:rPr>
          <w:rFonts w:ascii="Calibri" w:eastAsia="Calibri" w:hAnsi="Calibri" w:cs="Calibri"/>
          <w:color w:val="000000"/>
          <w:lang w:eastAsia="en-US"/>
        </w:rPr>
        <w:t>Quinto. Se modifica el artículo 80, que queda redactado como sigue:</w:t>
      </w:r>
    </w:p>
    <w:p w:rsidR="001D4E68" w:rsidRPr="001D4E68" w:rsidRDefault="001D4E68" w:rsidP="001D4E68">
      <w:pPr>
        <w:spacing w:after="180"/>
        <w:rPr>
          <w:rFonts w:ascii="Verdana" w:hAnsi="Verdana"/>
          <w:b/>
          <w:bCs/>
          <w:color w:val="333333"/>
          <w:sz w:val="19"/>
          <w:szCs w:val="19"/>
        </w:rPr>
      </w:pPr>
    </w:p>
    <w:p w:rsidR="001D4E68" w:rsidRPr="001D4E68" w:rsidRDefault="001D4E68" w:rsidP="001D4E68">
      <w:pPr>
        <w:spacing w:after="180" w:line="276" w:lineRule="auto"/>
        <w:ind w:firstLine="708"/>
        <w:rPr>
          <w:rFonts w:ascii="Verdana" w:hAnsi="Verdana"/>
          <w:b/>
          <w:bCs/>
          <w:color w:val="333333"/>
          <w:sz w:val="19"/>
          <w:szCs w:val="19"/>
        </w:rPr>
      </w:pPr>
      <w:r w:rsidRPr="001D4E68">
        <w:rPr>
          <w:rFonts w:ascii="Verdana" w:hAnsi="Verdana"/>
          <w:b/>
          <w:bCs/>
          <w:color w:val="333333"/>
          <w:sz w:val="19"/>
          <w:szCs w:val="19"/>
        </w:rPr>
        <w:t>“Artículo ochenta</w:t>
      </w:r>
    </w:p>
    <w:p w:rsidR="001D4E68" w:rsidRPr="001D4E68" w:rsidRDefault="001D4E68" w:rsidP="001D4E68">
      <w:pPr>
        <w:spacing w:before="180" w:after="180" w:line="276" w:lineRule="auto"/>
        <w:ind w:left="708"/>
        <w:jc w:val="both"/>
        <w:rPr>
          <w:rFonts w:ascii="Verdana" w:hAnsi="Verdana"/>
          <w:color w:val="333333"/>
          <w:sz w:val="19"/>
          <w:szCs w:val="19"/>
        </w:rPr>
      </w:pPr>
      <w:r w:rsidRPr="001D4E68">
        <w:rPr>
          <w:rFonts w:ascii="Verdana" w:hAnsi="Verdana"/>
          <w:color w:val="333333"/>
          <w:sz w:val="19"/>
          <w:szCs w:val="19"/>
        </w:rPr>
        <w:t xml:space="preserve">Se aplicarán, con carácter supletorio de la presente Ley, los preceptos de la </w:t>
      </w:r>
      <w:r w:rsidR="00D858D5">
        <w:rPr>
          <w:rFonts w:ascii="Verdana" w:hAnsi="Verdana"/>
          <w:color w:val="333333"/>
          <w:sz w:val="19"/>
          <w:szCs w:val="19"/>
        </w:rPr>
        <w:t>Ley Orgánica</w:t>
      </w:r>
      <w:r w:rsidRPr="001D4E68">
        <w:rPr>
          <w:rFonts w:ascii="Verdana" w:hAnsi="Verdana"/>
          <w:color w:val="333333"/>
          <w:sz w:val="19"/>
          <w:szCs w:val="19"/>
        </w:rPr>
        <w:t xml:space="preserve"> del Poder Judicial y de la Ley de Enjuiciamiento Civil, en materia de comparecencia en juicio, recusación y abstención, publicidad y forma de los actos, comunicaciones y actos de auxilio jurisdiccional, día y horas hábiles, cómputo de plazos, deliberación y votación, caducidad, renuncia y desistimiento, lengua oficial y policía de estrados.”</w:t>
      </w:r>
    </w:p>
    <w:p w:rsidR="001D4E68" w:rsidRPr="001D4E68" w:rsidRDefault="001D4E68" w:rsidP="001D4E68">
      <w:pPr>
        <w:autoSpaceDE w:val="0"/>
        <w:autoSpaceDN w:val="0"/>
        <w:adjustRightInd w:val="0"/>
        <w:spacing w:line="276" w:lineRule="auto"/>
        <w:ind w:right="-1"/>
        <w:jc w:val="both"/>
        <w:rPr>
          <w:rFonts w:ascii="Calibri" w:eastAsia="Calibri" w:hAnsi="Calibri" w:cs="Calibri"/>
          <w:color w:val="000000"/>
          <w:lang w:eastAsia="en-US"/>
        </w:rPr>
      </w:pPr>
    </w:p>
    <w:p w:rsidR="001D4E68" w:rsidRPr="001D4E68" w:rsidRDefault="001D4E68" w:rsidP="001D4E68">
      <w:pPr>
        <w:autoSpaceDE w:val="0"/>
        <w:autoSpaceDN w:val="0"/>
        <w:adjustRightInd w:val="0"/>
        <w:spacing w:line="276" w:lineRule="auto"/>
        <w:ind w:right="-1"/>
        <w:jc w:val="both"/>
        <w:rPr>
          <w:rFonts w:ascii="Calibri" w:eastAsia="Calibri" w:hAnsi="Calibri" w:cs="Calibri"/>
          <w:color w:val="000000"/>
          <w:lang w:eastAsia="en-US"/>
        </w:rPr>
      </w:pPr>
      <w:r w:rsidRPr="001D4E68">
        <w:rPr>
          <w:rFonts w:ascii="Calibri" w:eastAsia="Calibri" w:hAnsi="Calibri" w:cs="Calibri"/>
          <w:color w:val="000000"/>
          <w:lang w:eastAsia="en-US"/>
        </w:rPr>
        <w:t>Sexto. Se modifica el artículo 87, que queda redactado como sigue:</w:t>
      </w:r>
    </w:p>
    <w:p w:rsidR="001D4E68" w:rsidRPr="001D4E68" w:rsidRDefault="001D4E68" w:rsidP="001D4E68">
      <w:pPr>
        <w:autoSpaceDE w:val="0"/>
        <w:autoSpaceDN w:val="0"/>
        <w:adjustRightInd w:val="0"/>
        <w:spacing w:line="276" w:lineRule="auto"/>
        <w:ind w:right="-1"/>
        <w:jc w:val="both"/>
        <w:rPr>
          <w:rFonts w:ascii="Calibri" w:eastAsia="Calibri" w:hAnsi="Calibri" w:cs="Calibri"/>
          <w:color w:val="000000"/>
          <w:lang w:eastAsia="en-US"/>
        </w:rPr>
      </w:pPr>
    </w:p>
    <w:p w:rsidR="001D4E68" w:rsidRPr="001D4E68" w:rsidRDefault="001D4E68" w:rsidP="001D4E68">
      <w:pPr>
        <w:spacing w:after="180"/>
        <w:ind w:firstLine="708"/>
        <w:rPr>
          <w:rFonts w:ascii="Verdana" w:hAnsi="Verdana"/>
          <w:b/>
          <w:bCs/>
          <w:color w:val="333333"/>
          <w:sz w:val="19"/>
          <w:szCs w:val="19"/>
        </w:rPr>
      </w:pPr>
      <w:r w:rsidRPr="001D4E68">
        <w:rPr>
          <w:rFonts w:ascii="Verdana" w:hAnsi="Verdana"/>
          <w:b/>
          <w:bCs/>
          <w:color w:val="333333"/>
          <w:sz w:val="19"/>
          <w:szCs w:val="19"/>
        </w:rPr>
        <w:t>“Artículo ochenta y siete</w:t>
      </w:r>
    </w:p>
    <w:p w:rsidR="001D4E68" w:rsidRPr="001D4E68" w:rsidRDefault="001D4E68" w:rsidP="001D4E68">
      <w:pPr>
        <w:spacing w:before="180" w:after="180"/>
        <w:ind w:left="708"/>
        <w:jc w:val="both"/>
        <w:rPr>
          <w:rFonts w:ascii="Verdana" w:hAnsi="Verdana"/>
          <w:color w:val="333333"/>
          <w:sz w:val="19"/>
          <w:szCs w:val="19"/>
        </w:rPr>
      </w:pPr>
      <w:r w:rsidRPr="001D4E68">
        <w:rPr>
          <w:rFonts w:ascii="Verdana" w:hAnsi="Verdana"/>
          <w:color w:val="333333"/>
          <w:sz w:val="19"/>
          <w:szCs w:val="19"/>
        </w:rPr>
        <w:t>Uno. Todos los poderes públicos están obligados al cumplimiento de lo que el Tribunal Constitucional resuelva.</w:t>
      </w:r>
    </w:p>
    <w:p w:rsidR="001D4E68" w:rsidRPr="001D4E68" w:rsidRDefault="001D4E68" w:rsidP="001D4E68">
      <w:pPr>
        <w:spacing w:before="180" w:after="180"/>
        <w:ind w:left="708"/>
        <w:jc w:val="both"/>
        <w:rPr>
          <w:rFonts w:ascii="Verdana" w:hAnsi="Verdana"/>
          <w:color w:val="333333"/>
          <w:sz w:val="19"/>
          <w:szCs w:val="19"/>
        </w:rPr>
      </w:pPr>
      <w:r w:rsidRPr="001D4E68">
        <w:rPr>
          <w:rFonts w:ascii="Verdana" w:hAnsi="Verdana"/>
          <w:color w:val="333333"/>
          <w:sz w:val="19"/>
          <w:szCs w:val="19"/>
        </w:rPr>
        <w:t>Dos. Los Juzgados y Tribunales prestarán con carácter preferente y urgente al Tribunal Constitucional el auxilio jurisdiccional que éste solicite.”</w:t>
      </w:r>
    </w:p>
    <w:p w:rsidR="001D4E68" w:rsidRPr="001D4E68" w:rsidRDefault="001D4E68" w:rsidP="001D4E68">
      <w:pPr>
        <w:autoSpaceDE w:val="0"/>
        <w:autoSpaceDN w:val="0"/>
        <w:adjustRightInd w:val="0"/>
        <w:spacing w:line="276" w:lineRule="auto"/>
        <w:ind w:right="-1"/>
        <w:jc w:val="both"/>
        <w:rPr>
          <w:rFonts w:ascii="Calibri" w:eastAsia="Calibri" w:hAnsi="Calibri" w:cs="Calibri"/>
          <w:color w:val="000000"/>
          <w:lang w:eastAsia="en-US"/>
        </w:rPr>
      </w:pPr>
    </w:p>
    <w:p w:rsidR="001D4E68" w:rsidRPr="001D4E68" w:rsidRDefault="001D4E68" w:rsidP="001D4E68">
      <w:pPr>
        <w:autoSpaceDE w:val="0"/>
        <w:autoSpaceDN w:val="0"/>
        <w:adjustRightInd w:val="0"/>
        <w:spacing w:line="276" w:lineRule="auto"/>
        <w:ind w:right="-1"/>
        <w:jc w:val="both"/>
        <w:rPr>
          <w:rFonts w:ascii="Calibri" w:eastAsia="Calibri" w:hAnsi="Calibri" w:cs="Calibri"/>
          <w:color w:val="000000"/>
          <w:lang w:eastAsia="en-US"/>
        </w:rPr>
      </w:pPr>
      <w:r w:rsidRPr="001D4E68">
        <w:rPr>
          <w:rFonts w:ascii="Calibri" w:eastAsia="Calibri" w:hAnsi="Calibri" w:cs="Calibri"/>
          <w:color w:val="000000"/>
          <w:lang w:eastAsia="en-US"/>
        </w:rPr>
        <w:t>Séptimo. Se modifica el artículo 92, que queda redactado como sigue:</w:t>
      </w:r>
    </w:p>
    <w:p w:rsidR="001D4E68" w:rsidRPr="001D4E68" w:rsidRDefault="001D4E68" w:rsidP="001D4E68">
      <w:pPr>
        <w:autoSpaceDE w:val="0"/>
        <w:autoSpaceDN w:val="0"/>
        <w:adjustRightInd w:val="0"/>
        <w:spacing w:line="276" w:lineRule="auto"/>
        <w:ind w:right="-1"/>
        <w:jc w:val="both"/>
        <w:rPr>
          <w:rFonts w:ascii="Calibri" w:eastAsia="Calibri" w:hAnsi="Calibri" w:cs="Calibri"/>
          <w:color w:val="000000"/>
          <w:lang w:eastAsia="en-US"/>
        </w:rPr>
      </w:pPr>
    </w:p>
    <w:p w:rsidR="001D4E68" w:rsidRPr="001D4E68" w:rsidRDefault="001D4E68" w:rsidP="001D4E68">
      <w:pPr>
        <w:spacing w:after="180"/>
        <w:ind w:firstLine="708"/>
        <w:rPr>
          <w:rFonts w:ascii="Verdana" w:hAnsi="Verdana"/>
          <w:b/>
          <w:bCs/>
          <w:color w:val="333333"/>
          <w:sz w:val="19"/>
          <w:szCs w:val="19"/>
        </w:rPr>
      </w:pPr>
      <w:r w:rsidRPr="001D4E68">
        <w:rPr>
          <w:rFonts w:ascii="Verdana" w:hAnsi="Verdana"/>
          <w:b/>
          <w:bCs/>
          <w:color w:val="333333"/>
          <w:sz w:val="19"/>
          <w:szCs w:val="19"/>
        </w:rPr>
        <w:t>“Artículo noventa y dos</w:t>
      </w:r>
    </w:p>
    <w:p w:rsidR="001D4E68" w:rsidRPr="001D4E68" w:rsidRDefault="001D4E68" w:rsidP="001D4E68">
      <w:pPr>
        <w:spacing w:before="180" w:after="180"/>
        <w:ind w:left="708"/>
        <w:jc w:val="both"/>
        <w:rPr>
          <w:rFonts w:ascii="Verdana" w:hAnsi="Verdana"/>
          <w:color w:val="333333"/>
          <w:sz w:val="19"/>
          <w:szCs w:val="19"/>
        </w:rPr>
      </w:pPr>
      <w:r w:rsidRPr="001D4E68">
        <w:rPr>
          <w:rFonts w:ascii="Verdana" w:hAnsi="Verdana"/>
          <w:color w:val="333333"/>
          <w:sz w:val="19"/>
          <w:szCs w:val="19"/>
        </w:rPr>
        <w:t>El Tribunal podrá disponer en la sentencia, o en la resolución, o en actos posteriores, quién ha de ejecutarla y, en su caso, resolver las incidencias de la ejecución.</w:t>
      </w:r>
    </w:p>
    <w:p w:rsidR="001D4E68" w:rsidRPr="001D4E68" w:rsidRDefault="001D4E68" w:rsidP="001D4E68">
      <w:pPr>
        <w:spacing w:before="180" w:after="180"/>
        <w:ind w:left="708"/>
        <w:jc w:val="both"/>
        <w:rPr>
          <w:rFonts w:ascii="Verdana" w:hAnsi="Verdana"/>
          <w:color w:val="333333"/>
          <w:sz w:val="19"/>
          <w:szCs w:val="19"/>
        </w:rPr>
      </w:pPr>
      <w:r w:rsidRPr="001D4E68">
        <w:rPr>
          <w:rFonts w:ascii="Verdana" w:hAnsi="Verdana"/>
          <w:color w:val="333333"/>
          <w:sz w:val="19"/>
          <w:szCs w:val="19"/>
        </w:rPr>
        <w:t>Podrá también declarar la nulidad de cualesquiera resoluciones que contravengan las dictadas en el ejercicio de su jurisdicción, con ocasión de la ejecución de éstas, previa audiencia del Ministerio Fiscal y del órgano que las dictó.”</w:t>
      </w:r>
    </w:p>
    <w:p w:rsidR="001D4E68" w:rsidRPr="001D4E68" w:rsidRDefault="001D4E68" w:rsidP="001D4E68">
      <w:pPr>
        <w:autoSpaceDE w:val="0"/>
        <w:autoSpaceDN w:val="0"/>
        <w:adjustRightInd w:val="0"/>
        <w:spacing w:line="276" w:lineRule="auto"/>
        <w:ind w:right="-1"/>
        <w:jc w:val="both"/>
        <w:rPr>
          <w:rFonts w:ascii="Calibri" w:eastAsia="Calibri" w:hAnsi="Calibri" w:cs="Calibri"/>
          <w:color w:val="000000"/>
          <w:lang w:eastAsia="en-US"/>
        </w:rPr>
      </w:pPr>
    </w:p>
    <w:p w:rsidR="001D4E68" w:rsidRPr="001D4E68" w:rsidRDefault="001D4E68" w:rsidP="001D4E68">
      <w:pPr>
        <w:autoSpaceDE w:val="0"/>
        <w:autoSpaceDN w:val="0"/>
        <w:adjustRightInd w:val="0"/>
        <w:spacing w:line="276" w:lineRule="auto"/>
        <w:ind w:right="-1"/>
        <w:jc w:val="both"/>
        <w:rPr>
          <w:rFonts w:ascii="Calibri" w:eastAsia="Calibri" w:hAnsi="Calibri" w:cs="Calibri"/>
          <w:color w:val="000000"/>
          <w:lang w:eastAsia="en-US"/>
        </w:rPr>
      </w:pPr>
      <w:r w:rsidRPr="001D4E68">
        <w:rPr>
          <w:rFonts w:ascii="Calibri" w:eastAsia="Calibri" w:hAnsi="Calibri" w:cs="Calibri"/>
          <w:color w:val="000000"/>
          <w:lang w:eastAsia="en-US"/>
        </w:rPr>
        <w:t xml:space="preserve">Octavo. </w:t>
      </w:r>
      <w:r w:rsidR="00BF0BF5">
        <w:rPr>
          <w:rFonts w:ascii="Calibri" w:eastAsia="Calibri" w:hAnsi="Calibri" w:cs="Calibri"/>
          <w:color w:val="000000"/>
          <w:lang w:eastAsia="en-US"/>
        </w:rPr>
        <w:t xml:space="preserve">Se modifica el apartado </w:t>
      </w:r>
      <w:r w:rsidRPr="001D4E68">
        <w:rPr>
          <w:rFonts w:ascii="Calibri" w:eastAsia="Calibri" w:hAnsi="Calibri" w:cs="Calibri"/>
          <w:color w:val="000000"/>
          <w:lang w:eastAsia="en-US"/>
        </w:rPr>
        <w:t>4</w:t>
      </w:r>
      <w:r w:rsidR="00BF0BF5">
        <w:rPr>
          <w:rFonts w:ascii="Calibri" w:eastAsia="Calibri" w:hAnsi="Calibri" w:cs="Calibri"/>
          <w:color w:val="000000"/>
          <w:lang w:eastAsia="en-US"/>
        </w:rPr>
        <w:t xml:space="preserve"> del artículo 95, que queda redactado como sigue</w:t>
      </w:r>
      <w:r w:rsidR="00DA3077">
        <w:rPr>
          <w:rFonts w:ascii="Calibri" w:eastAsia="Calibri" w:hAnsi="Calibri" w:cs="Calibri"/>
          <w:color w:val="000000"/>
          <w:lang w:eastAsia="en-US"/>
        </w:rPr>
        <w:t>, y se añade un nuevo apartado 5</w:t>
      </w:r>
      <w:r w:rsidRPr="001D4E68">
        <w:rPr>
          <w:rFonts w:ascii="Calibri" w:eastAsia="Calibri" w:hAnsi="Calibri" w:cs="Calibri"/>
          <w:color w:val="000000"/>
          <w:lang w:eastAsia="en-US"/>
        </w:rPr>
        <w:t>:</w:t>
      </w:r>
    </w:p>
    <w:p w:rsidR="001D4E68" w:rsidRPr="001D4E68" w:rsidRDefault="001D4E68" w:rsidP="001D4E68">
      <w:pPr>
        <w:autoSpaceDE w:val="0"/>
        <w:autoSpaceDN w:val="0"/>
        <w:adjustRightInd w:val="0"/>
        <w:spacing w:line="276" w:lineRule="auto"/>
        <w:ind w:right="-1"/>
        <w:jc w:val="both"/>
        <w:rPr>
          <w:rFonts w:ascii="Calibri" w:eastAsia="Calibri" w:hAnsi="Calibri" w:cs="Calibri"/>
          <w:color w:val="000000"/>
          <w:lang w:eastAsia="en-US"/>
        </w:rPr>
      </w:pPr>
    </w:p>
    <w:p w:rsidR="001D4E68" w:rsidRPr="001D4E68" w:rsidRDefault="001D4E68" w:rsidP="001D4E68">
      <w:pPr>
        <w:spacing w:before="180" w:after="180"/>
        <w:ind w:left="1068"/>
        <w:jc w:val="both"/>
        <w:rPr>
          <w:rFonts w:ascii="Calibri" w:hAnsi="Calibri" w:cs="Calibri"/>
          <w:color w:val="333333"/>
        </w:rPr>
      </w:pPr>
      <w:r w:rsidRPr="001D4E68">
        <w:rPr>
          <w:rFonts w:ascii="Calibri" w:hAnsi="Calibri" w:cs="Calibri"/>
          <w:color w:val="333333"/>
        </w:rPr>
        <w:t>Cuatro. Podrá imponer multas coercitivas de 600 a 3.000 euros a cualquier persona, investida o no de poder público, que incumpla los requerimientos del Tribunal dentro de los plazos señalados y reiterar estas multas hasta el total cumplimiento de los interesados, sin perjuicio de cualquier otra responsabilidad a que hubiera lugar.</w:t>
      </w:r>
    </w:p>
    <w:p w:rsidR="00BF0BF5" w:rsidRDefault="00DA3077" w:rsidP="00DA3077">
      <w:pPr>
        <w:autoSpaceDE w:val="0"/>
        <w:autoSpaceDN w:val="0"/>
        <w:adjustRightInd w:val="0"/>
        <w:spacing w:before="220" w:after="143" w:line="276" w:lineRule="auto"/>
        <w:ind w:left="1068" w:right="-1" w:firstLine="19"/>
        <w:jc w:val="both"/>
        <w:rPr>
          <w:rFonts w:ascii="Calibri" w:eastAsia="Calibri" w:hAnsi="Calibri" w:cs="Calibri"/>
          <w:color w:val="000000"/>
          <w:lang w:eastAsia="en-US"/>
        </w:rPr>
      </w:pPr>
      <w:r>
        <w:rPr>
          <w:rFonts w:ascii="Calibri" w:eastAsia="Calibri" w:hAnsi="Calibri" w:cs="Calibri"/>
          <w:color w:val="000000"/>
          <w:lang w:eastAsia="en-US"/>
        </w:rPr>
        <w:t xml:space="preserve">Cinco. Los límites de la cuantía de estas sanciones o multas podrán ser </w:t>
      </w:r>
      <w:bookmarkStart w:id="0" w:name="_GoBack"/>
      <w:bookmarkEnd w:id="0"/>
      <w:r>
        <w:rPr>
          <w:rFonts w:ascii="Calibri" w:eastAsia="Calibri" w:hAnsi="Calibri" w:cs="Calibri"/>
          <w:color w:val="000000"/>
          <w:lang w:eastAsia="en-US"/>
        </w:rPr>
        <w:t xml:space="preserve">revisadas, en todo momento, mediante ley ordinaria. </w:t>
      </w:r>
    </w:p>
    <w:p w:rsidR="001D4E68" w:rsidRPr="001D4E68" w:rsidRDefault="001D4E68" w:rsidP="001D4E68">
      <w:pPr>
        <w:autoSpaceDE w:val="0"/>
        <w:autoSpaceDN w:val="0"/>
        <w:adjustRightInd w:val="0"/>
        <w:spacing w:before="220" w:after="143" w:line="276" w:lineRule="auto"/>
        <w:ind w:right="-1"/>
        <w:jc w:val="both"/>
        <w:rPr>
          <w:rFonts w:ascii="Calibri" w:eastAsia="Calibri" w:hAnsi="Calibri" w:cs="Calibri"/>
          <w:color w:val="000000"/>
          <w:lang w:eastAsia="en-US"/>
        </w:rPr>
      </w:pPr>
      <w:r w:rsidRPr="001D4E68">
        <w:rPr>
          <w:rFonts w:ascii="Calibri" w:eastAsia="Calibri" w:hAnsi="Calibri" w:cs="Calibri"/>
          <w:color w:val="000000"/>
          <w:lang w:eastAsia="en-US"/>
        </w:rPr>
        <w:t>Disposición final única. Entrada en vigor.</w:t>
      </w:r>
    </w:p>
    <w:p w:rsidR="001D4E68" w:rsidRDefault="001D4E68" w:rsidP="001D4E68">
      <w:pPr>
        <w:autoSpaceDE w:val="0"/>
        <w:autoSpaceDN w:val="0"/>
        <w:adjustRightInd w:val="0"/>
        <w:spacing w:line="276" w:lineRule="auto"/>
        <w:ind w:right="-1"/>
        <w:jc w:val="both"/>
        <w:rPr>
          <w:rFonts w:ascii="Calibri" w:eastAsia="Calibri" w:hAnsi="Calibri" w:cs="Calibri"/>
          <w:color w:val="000000"/>
          <w:lang w:eastAsia="en-US"/>
        </w:rPr>
      </w:pPr>
      <w:r w:rsidRPr="001D4E68">
        <w:rPr>
          <w:rFonts w:ascii="Calibri" w:eastAsia="Calibri" w:hAnsi="Calibri" w:cs="Calibri"/>
          <w:color w:val="000000"/>
          <w:lang w:eastAsia="en-US"/>
        </w:rPr>
        <w:t xml:space="preserve">La presente </w:t>
      </w:r>
      <w:r w:rsidR="00D858D5">
        <w:rPr>
          <w:rFonts w:ascii="Calibri" w:eastAsia="Calibri" w:hAnsi="Calibri" w:cs="Calibri"/>
          <w:color w:val="000000"/>
          <w:lang w:eastAsia="en-US"/>
        </w:rPr>
        <w:t>Ley Orgánica</w:t>
      </w:r>
      <w:r w:rsidRPr="001D4E68">
        <w:rPr>
          <w:rFonts w:ascii="Calibri" w:eastAsia="Calibri" w:hAnsi="Calibri" w:cs="Calibri"/>
          <w:color w:val="000000"/>
          <w:lang w:eastAsia="en-US"/>
        </w:rPr>
        <w:t xml:space="preserve"> entrará en vigor al día siguiente de su publicación en el «Boletín Oficial del Estado”. </w:t>
      </w:r>
    </w:p>
    <w:p w:rsidR="00A837FA" w:rsidRDefault="00A837FA" w:rsidP="001D4E68">
      <w:pPr>
        <w:autoSpaceDE w:val="0"/>
        <w:autoSpaceDN w:val="0"/>
        <w:adjustRightInd w:val="0"/>
        <w:spacing w:line="276" w:lineRule="auto"/>
        <w:ind w:right="-1"/>
        <w:jc w:val="both"/>
        <w:rPr>
          <w:rFonts w:ascii="Calibri" w:eastAsia="Calibri" w:hAnsi="Calibri" w:cs="Calibri"/>
          <w:color w:val="000000"/>
          <w:lang w:eastAsia="en-US"/>
        </w:rPr>
      </w:pPr>
    </w:p>
    <w:p w:rsidR="00A837FA" w:rsidRDefault="00A837FA" w:rsidP="001D4E68">
      <w:pPr>
        <w:autoSpaceDE w:val="0"/>
        <w:autoSpaceDN w:val="0"/>
        <w:adjustRightInd w:val="0"/>
        <w:spacing w:line="276" w:lineRule="auto"/>
        <w:ind w:right="-1"/>
        <w:jc w:val="both"/>
        <w:rPr>
          <w:rFonts w:ascii="Calibri" w:eastAsia="Calibri" w:hAnsi="Calibri" w:cs="Calibri"/>
          <w:color w:val="000000"/>
          <w:lang w:eastAsia="en-US"/>
        </w:rPr>
      </w:pPr>
    </w:p>
    <w:p w:rsidR="00A837FA" w:rsidRDefault="00A837FA" w:rsidP="001D4E68">
      <w:pPr>
        <w:autoSpaceDE w:val="0"/>
        <w:autoSpaceDN w:val="0"/>
        <w:adjustRightInd w:val="0"/>
        <w:spacing w:line="276" w:lineRule="auto"/>
        <w:ind w:right="-1"/>
        <w:jc w:val="both"/>
        <w:rPr>
          <w:rFonts w:ascii="Calibri" w:eastAsia="Calibri" w:hAnsi="Calibri" w:cs="Calibri"/>
          <w:b/>
          <w:color w:val="000000"/>
          <w:lang w:eastAsia="en-US"/>
        </w:rPr>
      </w:pPr>
      <w:r>
        <w:rPr>
          <w:rFonts w:ascii="Calibri" w:eastAsia="Calibri" w:hAnsi="Calibri" w:cs="Calibri"/>
          <w:b/>
          <w:color w:val="000000"/>
          <w:lang w:eastAsia="en-US"/>
        </w:rPr>
        <w:t>ANTECEDENTES</w:t>
      </w:r>
    </w:p>
    <w:p w:rsidR="00A837FA" w:rsidRDefault="00A837FA" w:rsidP="001D4E68">
      <w:pPr>
        <w:autoSpaceDE w:val="0"/>
        <w:autoSpaceDN w:val="0"/>
        <w:adjustRightInd w:val="0"/>
        <w:spacing w:line="276" w:lineRule="auto"/>
        <w:ind w:right="-1"/>
        <w:jc w:val="both"/>
        <w:rPr>
          <w:rFonts w:ascii="Calibri" w:eastAsia="Calibri" w:hAnsi="Calibri" w:cs="Calibri"/>
          <w:b/>
          <w:color w:val="000000"/>
          <w:lang w:eastAsia="en-US"/>
        </w:rPr>
      </w:pPr>
    </w:p>
    <w:p w:rsidR="00A837FA" w:rsidRDefault="00A837FA" w:rsidP="00A837FA">
      <w:pPr>
        <w:numPr>
          <w:ilvl w:val="0"/>
          <w:numId w:val="14"/>
        </w:numPr>
        <w:autoSpaceDE w:val="0"/>
        <w:autoSpaceDN w:val="0"/>
        <w:adjustRightInd w:val="0"/>
        <w:spacing w:line="276" w:lineRule="auto"/>
        <w:ind w:right="-1"/>
        <w:jc w:val="both"/>
        <w:rPr>
          <w:rFonts w:ascii="Calibri" w:eastAsia="Calibri" w:hAnsi="Calibri" w:cs="Calibri"/>
          <w:color w:val="000000"/>
          <w:lang w:eastAsia="en-US"/>
        </w:rPr>
      </w:pPr>
      <w:r>
        <w:rPr>
          <w:rFonts w:ascii="Calibri" w:eastAsia="Calibri" w:hAnsi="Calibri" w:cs="Calibri"/>
          <w:color w:val="000000"/>
          <w:lang w:eastAsia="en-US"/>
        </w:rPr>
        <w:t>Ley Orgánica 2/1979, de 3 de octubre, del Tribunal Constitucional.</w:t>
      </w:r>
    </w:p>
    <w:p w:rsidR="00A837FA" w:rsidRDefault="00A837FA" w:rsidP="001D4E68">
      <w:pPr>
        <w:autoSpaceDE w:val="0"/>
        <w:autoSpaceDN w:val="0"/>
        <w:adjustRightInd w:val="0"/>
        <w:spacing w:line="276" w:lineRule="auto"/>
        <w:ind w:right="-1"/>
        <w:jc w:val="both"/>
        <w:rPr>
          <w:rFonts w:ascii="Calibri" w:eastAsia="Calibri" w:hAnsi="Calibri" w:cs="Calibri"/>
          <w:color w:val="000000"/>
          <w:lang w:eastAsia="en-US"/>
        </w:rPr>
      </w:pPr>
    </w:p>
    <w:p w:rsidR="00A837FA" w:rsidRPr="00003730" w:rsidRDefault="00A837FA" w:rsidP="0066722D">
      <w:pPr>
        <w:numPr>
          <w:ilvl w:val="0"/>
          <w:numId w:val="14"/>
        </w:numPr>
        <w:autoSpaceDE w:val="0"/>
        <w:autoSpaceDN w:val="0"/>
        <w:adjustRightInd w:val="0"/>
        <w:spacing w:line="276" w:lineRule="auto"/>
        <w:ind w:right="-1"/>
        <w:jc w:val="both"/>
        <w:rPr>
          <w:rFonts w:ascii="Calibri" w:eastAsia="Calibri" w:hAnsi="Calibri" w:cs="Calibri"/>
          <w:color w:val="000000"/>
          <w:lang w:eastAsia="en-US"/>
        </w:rPr>
      </w:pPr>
      <w:r w:rsidRPr="00003730">
        <w:rPr>
          <w:rFonts w:ascii="Calibri" w:eastAsia="Calibri" w:hAnsi="Calibri" w:cs="Calibri"/>
          <w:color w:val="000000"/>
          <w:lang w:eastAsia="en-US"/>
        </w:rPr>
        <w:t>Ley Orgánica 12 /2015, de 22 de septiembre, de reforma de la Ley Orgánica 2/1979, de 3 de octubre, del Tribunal Constitucional, para el establecimiento del recurso previo de inconstitucionalidad para los Proyectos de Ley Orgánica de Estatuto de Autonomía o de su modificación.</w:t>
      </w:r>
    </w:p>
    <w:p w:rsidR="00A23F48" w:rsidRPr="00553696" w:rsidRDefault="00A837FA" w:rsidP="006E66B1">
      <w:pPr>
        <w:numPr>
          <w:ilvl w:val="0"/>
          <w:numId w:val="14"/>
        </w:numPr>
        <w:autoSpaceDE w:val="0"/>
        <w:autoSpaceDN w:val="0"/>
        <w:adjustRightInd w:val="0"/>
        <w:spacing w:before="360" w:after="200" w:line="276" w:lineRule="auto"/>
        <w:ind w:right="-1"/>
        <w:jc w:val="both"/>
      </w:pPr>
      <w:r w:rsidRPr="000B4CEC">
        <w:rPr>
          <w:rFonts w:ascii="Calibri" w:eastAsia="Calibri" w:hAnsi="Calibri" w:cs="Calibri"/>
          <w:color w:val="000000"/>
          <w:lang w:eastAsia="en-US"/>
        </w:rPr>
        <w:t>Ley Orgánica 15/2015, de 16  octubre, de reforma de la Ley Orgánica 2/1979, de 3 de octubre, del Tribunal Constitucional, para la ejecución de las resoluciones del Tribunal Constitucional como garantía del estado de derecho.</w:t>
      </w:r>
    </w:p>
    <w:sectPr w:rsidR="00A23F48" w:rsidRPr="00553696" w:rsidSect="00832F42">
      <w:headerReference w:type="default" r:id="rId7"/>
      <w:footerReference w:type="even" r:id="rId8"/>
      <w:footerReference w:type="default" r:id="rId9"/>
      <w:pgSz w:w="11906" w:h="16838"/>
      <w:pgMar w:top="2875" w:right="1701" w:bottom="1078" w:left="1701"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E68" w:rsidRDefault="001D4E68">
      <w:r>
        <w:separator/>
      </w:r>
    </w:p>
  </w:endnote>
  <w:endnote w:type="continuationSeparator" w:id="0">
    <w:p w:rsidR="001D4E68" w:rsidRDefault="001D4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vantGarde Md BT">
    <w:altName w:val="Century Gothic"/>
    <w:charset w:val="00"/>
    <w:family w:val="swiss"/>
    <w:pitch w:val="variable"/>
    <w:sig w:usb0="00000087"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4C3" w:rsidRDefault="007274C3" w:rsidP="005C035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274C3" w:rsidRDefault="007274C3" w:rsidP="002A6219">
    <w:pPr>
      <w:pStyle w:val="Piedepgina"/>
      <w:ind w:right="360"/>
    </w:pPr>
  </w:p>
  <w:p w:rsidR="007274C3" w:rsidRDefault="007274C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E68" w:rsidRDefault="001D4E68">
    <w:pPr>
      <w:pStyle w:val="Piedepgina"/>
      <w:jc w:val="right"/>
    </w:pPr>
    <w:r>
      <w:fldChar w:fldCharType="begin"/>
    </w:r>
    <w:r>
      <w:instrText>PAGE   \* MERGEFORMAT</w:instrText>
    </w:r>
    <w:r>
      <w:fldChar w:fldCharType="separate"/>
    </w:r>
    <w:r w:rsidR="00DA3077">
      <w:rPr>
        <w:noProof/>
      </w:rPr>
      <w:t>11</w:t>
    </w:r>
    <w:r>
      <w:fldChar w:fldCharType="end"/>
    </w:r>
  </w:p>
  <w:p w:rsidR="007274C3" w:rsidRDefault="007274C3" w:rsidP="005C0355">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E68" w:rsidRDefault="001D4E68">
      <w:r>
        <w:separator/>
      </w:r>
    </w:p>
  </w:footnote>
  <w:footnote w:type="continuationSeparator" w:id="0">
    <w:p w:rsidR="001D4E68" w:rsidRDefault="001D4E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4C3" w:rsidRDefault="0070797B">
    <w:pPr>
      <w:pStyle w:val="Encabezado"/>
    </w:pPr>
    <w:r>
      <w:rPr>
        <w:noProof/>
      </w:rPr>
      <mc:AlternateContent>
        <mc:Choice Requires="wps">
          <w:drawing>
            <wp:anchor distT="0" distB="0" distL="114300" distR="114300" simplePos="0" relativeHeight="251654656" behindDoc="0" locked="0" layoutInCell="1" allowOverlap="1">
              <wp:simplePos x="0" y="0"/>
              <wp:positionH relativeFrom="column">
                <wp:posOffset>-685800</wp:posOffset>
              </wp:positionH>
              <wp:positionV relativeFrom="paragraph">
                <wp:posOffset>-3175</wp:posOffset>
              </wp:positionV>
              <wp:extent cx="4343400" cy="1456055"/>
              <wp:effectExtent l="0" t="0" r="0" b="4445"/>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456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74C3" w:rsidRDefault="007274C3">
                          <w:pPr>
                            <w:rPr>
                              <w:rFonts w:ascii="AvantGarde Md BT" w:hAnsi="AvantGarde Md BT"/>
                              <w:b/>
                              <w:sz w:val="28"/>
                              <w:szCs w:val="28"/>
                            </w:rPr>
                          </w:pPr>
                        </w:p>
                        <w:p w:rsidR="007274C3" w:rsidRPr="00B51738" w:rsidRDefault="007274C3" w:rsidP="003B1ED5">
                          <w:pPr>
                            <w:rPr>
                              <w:rFonts w:ascii="Century Gothic" w:hAnsi="Century Gothic"/>
                              <w:b/>
                            </w:rPr>
                          </w:pPr>
                          <w:r w:rsidRPr="00B51738">
                            <w:rPr>
                              <w:rFonts w:ascii="Century Gothic" w:hAnsi="Century Gothic"/>
                              <w:b/>
                            </w:rPr>
                            <w:t>EUSKAL TALDEA</w:t>
                          </w:r>
                        </w:p>
                        <w:p w:rsidR="007274C3" w:rsidRDefault="007274C3" w:rsidP="003B1ED5">
                          <w:pPr>
                            <w:rPr>
                              <w:rFonts w:ascii="Century Gothic" w:hAnsi="Century Gothic"/>
                              <w:b/>
                            </w:rPr>
                          </w:pPr>
                          <w:r w:rsidRPr="00B51738">
                            <w:rPr>
                              <w:rFonts w:ascii="Century Gothic" w:hAnsi="Century Gothic"/>
                              <w:b/>
                            </w:rPr>
                            <w:t>GRUPO VASCO</w:t>
                          </w:r>
                        </w:p>
                        <w:p w:rsidR="007274C3" w:rsidRPr="00B51738" w:rsidRDefault="007274C3" w:rsidP="003B1ED5">
                          <w:pPr>
                            <w:rPr>
                              <w:rFonts w:ascii="Century Gothic" w:hAnsi="Century Gothic"/>
                              <w:b/>
                            </w:rPr>
                          </w:pPr>
                        </w:p>
                        <w:p w:rsidR="007274C3" w:rsidRPr="00B51738" w:rsidRDefault="007274C3">
                          <w:pPr>
                            <w:rPr>
                              <w:rFonts w:ascii="Century Gothic" w:hAnsi="Century Gothic"/>
                              <w:b/>
                            </w:rPr>
                          </w:pPr>
                          <w:r w:rsidRPr="00B51738">
                            <w:rPr>
                              <w:rFonts w:ascii="Century Gothic" w:hAnsi="Century Gothic"/>
                              <w:b/>
                            </w:rPr>
                            <w:t>EUSKO ALDERDI JELTZALEA</w:t>
                          </w:r>
                        </w:p>
                        <w:p w:rsidR="007274C3" w:rsidRPr="00B51738" w:rsidRDefault="007274C3">
                          <w:pPr>
                            <w:rPr>
                              <w:rFonts w:ascii="Century Gothic" w:hAnsi="Century Gothic"/>
                              <w:b/>
                            </w:rPr>
                          </w:pPr>
                          <w:r w:rsidRPr="00B51738">
                            <w:rPr>
                              <w:rFonts w:ascii="Century Gothic" w:hAnsi="Century Gothic"/>
                              <w:b/>
                            </w:rPr>
                            <w:t>PARTIDO NACIONALISTA VASCO</w:t>
                          </w:r>
                        </w:p>
                        <w:p w:rsidR="007274C3" w:rsidRPr="00B51738" w:rsidRDefault="007274C3">
                          <w:pPr>
                            <w:rPr>
                              <w:rFonts w:ascii="Century Gothic" w:hAnsi="Century Gothic"/>
                              <w:b/>
                            </w:rPr>
                          </w:pPr>
                        </w:p>
                        <w:p w:rsidR="007274C3" w:rsidRPr="00EC5957" w:rsidRDefault="007274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54pt;margin-top:-.25pt;width:342pt;height:114.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" stroked="f">
              <v:textbox>
                <w:txbxContent>
                  <w:p w:rsidR="007274C3" w:rsidRDefault="007274C3">
                    <w:pPr>
                      <w:rPr>
                        <w:rFonts w:ascii="AvantGarde Md BT" w:hAnsi="AvantGarde Md BT"/>
                        <w:b/>
                        <w:sz w:val="28"/>
                        <w:szCs w:val="28"/>
                      </w:rPr>
                    </w:pPr>
                  </w:p>
                  <w:p w:rsidR="007274C3" w:rsidRPr="00B51738" w:rsidRDefault="007274C3" w:rsidP="003B1ED5">
                    <w:pPr>
                      <w:rPr>
                        <w:rFonts w:ascii="Century Gothic" w:hAnsi="Century Gothic"/>
                        <w:b/>
                      </w:rPr>
                    </w:pPr>
                    <w:r w:rsidRPr="00B51738">
                      <w:rPr>
                        <w:rFonts w:ascii="Century Gothic" w:hAnsi="Century Gothic"/>
                        <w:b/>
                      </w:rPr>
                      <w:t>EUSKAL TALDEA</w:t>
                    </w:r>
                  </w:p>
                  <w:p w:rsidR="007274C3" w:rsidRDefault="007274C3" w:rsidP="003B1ED5">
                    <w:pPr>
                      <w:rPr>
                        <w:rFonts w:ascii="Century Gothic" w:hAnsi="Century Gothic"/>
                        <w:b/>
                      </w:rPr>
                    </w:pPr>
                    <w:r w:rsidRPr="00B51738">
                      <w:rPr>
                        <w:rFonts w:ascii="Century Gothic" w:hAnsi="Century Gothic"/>
                        <w:b/>
                      </w:rPr>
                      <w:t>GRUPO VASCO</w:t>
                    </w:r>
                  </w:p>
                  <w:p w:rsidR="007274C3" w:rsidRPr="00B51738" w:rsidRDefault="007274C3" w:rsidP="003B1ED5">
                    <w:pPr>
                      <w:rPr>
                        <w:rFonts w:ascii="Century Gothic" w:hAnsi="Century Gothic"/>
                        <w:b/>
                      </w:rPr>
                    </w:pPr>
                  </w:p>
                  <w:p w:rsidR="007274C3" w:rsidRPr="00B51738" w:rsidRDefault="007274C3">
                    <w:pPr>
                      <w:rPr>
                        <w:rFonts w:ascii="Century Gothic" w:hAnsi="Century Gothic"/>
                        <w:b/>
                      </w:rPr>
                    </w:pPr>
                    <w:r w:rsidRPr="00B51738">
                      <w:rPr>
                        <w:rFonts w:ascii="Century Gothic" w:hAnsi="Century Gothic"/>
                        <w:b/>
                      </w:rPr>
                      <w:t>EUSKO ALDERDI JELTZALEA</w:t>
                    </w:r>
                  </w:p>
                  <w:p w:rsidR="007274C3" w:rsidRPr="00B51738" w:rsidRDefault="007274C3">
                    <w:pPr>
                      <w:rPr>
                        <w:rFonts w:ascii="Century Gothic" w:hAnsi="Century Gothic"/>
                        <w:b/>
                      </w:rPr>
                    </w:pPr>
                    <w:r w:rsidRPr="00B51738">
                      <w:rPr>
                        <w:rFonts w:ascii="Century Gothic" w:hAnsi="Century Gothic"/>
                        <w:b/>
                      </w:rPr>
                      <w:t>PARTIDO NACIONALISTA VASCO</w:t>
                    </w:r>
                  </w:p>
                  <w:p w:rsidR="007274C3" w:rsidRPr="00B51738" w:rsidRDefault="007274C3">
                    <w:pPr>
                      <w:rPr>
                        <w:rFonts w:ascii="Century Gothic" w:hAnsi="Century Gothic"/>
                        <w:b/>
                      </w:rPr>
                    </w:pPr>
                  </w:p>
                  <w:p w:rsidR="007274C3" w:rsidRPr="00EC5957" w:rsidRDefault="007274C3"/>
                </w:txbxContent>
              </v:textbox>
            </v:shape>
          </w:pict>
        </mc:Fallback>
      </mc:AlternateContent>
    </w:r>
    <w:r>
      <w:rPr>
        <w:noProof/>
      </w:rPr>
      <w:drawing>
        <wp:anchor distT="0" distB="0" distL="114300" distR="114300" simplePos="0" relativeHeight="251660800" behindDoc="0" locked="0" layoutInCell="1" allowOverlap="1">
          <wp:simplePos x="0" y="0"/>
          <wp:positionH relativeFrom="column">
            <wp:posOffset>4457700</wp:posOffset>
          </wp:positionH>
          <wp:positionV relativeFrom="paragraph">
            <wp:posOffset>111125</wp:posOffset>
          </wp:positionV>
          <wp:extent cx="1600200" cy="1200150"/>
          <wp:effectExtent l="0" t="0" r="0" b="0"/>
          <wp:wrapNone/>
          <wp:docPr id="26" name="Imagen 26" descr="eaj_berria_Karr-PERFIL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aj_berria_Karr-PERFIL FACEBOO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74C3" w:rsidRDefault="0070797B">
    <w:pPr>
      <w:pStyle w:val="Encabezado"/>
    </w:pPr>
    <w:r>
      <w:rPr>
        <w:noProof/>
      </w:rPr>
      <mc:AlternateContent>
        <mc:Choice Requires="wps">
          <w:drawing>
            <wp:anchor distT="0" distB="0" distL="114300" distR="114300" simplePos="0" relativeHeight="251655680" behindDoc="0" locked="0" layoutInCell="1" allowOverlap="1">
              <wp:simplePos x="0" y="0"/>
              <wp:positionH relativeFrom="column">
                <wp:posOffset>-1141095</wp:posOffset>
              </wp:positionH>
              <wp:positionV relativeFrom="paragraph">
                <wp:posOffset>1193165</wp:posOffset>
              </wp:positionV>
              <wp:extent cx="7658100" cy="53975"/>
              <wp:effectExtent l="11430" t="12065" r="7620" b="10160"/>
              <wp:wrapNone/>
              <wp:docPr id="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53975"/>
                      </a:xfrm>
                      <a:prstGeom prst="rect">
                        <a:avLst/>
                      </a:prstGeom>
                      <a:solidFill>
                        <a:srgbClr val="FF0000"/>
                      </a:solidFill>
                      <a:ln w="9525">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A905DB" id="Rectangle 15" o:spid="_x0000_s1026" style="position:absolute;margin-left:-89.85pt;margin-top:93.95pt;width:603pt;height:4.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" fillcolor="red" strokecolor="red"/>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-1143000</wp:posOffset>
              </wp:positionH>
              <wp:positionV relativeFrom="paragraph">
                <wp:posOffset>1253490</wp:posOffset>
              </wp:positionV>
              <wp:extent cx="7658100" cy="53975"/>
              <wp:effectExtent l="9525" t="5715" r="9525" b="6985"/>
              <wp:wrapNone/>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53975"/>
                      </a:xfrm>
                      <a:prstGeom prst="rect">
                        <a:avLst/>
                      </a:prstGeom>
                      <a:solidFill>
                        <a:srgbClr val="339966"/>
                      </a:solidFill>
                      <a:ln w="9525">
                        <a:solidFill>
                          <a:srgbClr val="33996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364D86" id="Rectangle 19" o:spid="_x0000_s1026" style="position:absolute;margin-left:-90pt;margin-top:98.7pt;width:603pt;height:4.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" fillcolor="#396" strokecolor="#396"/>
          </w:pict>
        </mc:Fallback>
      </mc:AlternateContent>
    </w:r>
    <w:r>
      <w:rPr>
        <w:noProof/>
      </w:rPr>
      <mc:AlternateContent>
        <mc:Choice Requires="wps">
          <w:drawing>
            <wp:anchor distT="0" distB="0" distL="114300" distR="114300" simplePos="0" relativeHeight="251659776" behindDoc="0" locked="0" layoutInCell="1" allowOverlap="1">
              <wp:simplePos x="0" y="0"/>
              <wp:positionH relativeFrom="column">
                <wp:posOffset>-1143000</wp:posOffset>
              </wp:positionH>
              <wp:positionV relativeFrom="paragraph">
                <wp:posOffset>1421765</wp:posOffset>
              </wp:positionV>
              <wp:extent cx="7658100" cy="53975"/>
              <wp:effectExtent l="9525" t="12065" r="9525" b="10160"/>
              <wp:wrapNone/>
              <wp:docPr id="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53975"/>
                      </a:xfrm>
                      <a:prstGeom prst="rect">
                        <a:avLst/>
                      </a:prstGeom>
                      <a:solidFill>
                        <a:srgbClr val="FF0000"/>
                      </a:solidFill>
                      <a:ln w="9525">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2BDF4C" id="Rectangle 22" o:spid="_x0000_s1026" style="position:absolute;margin-left:-90pt;margin-top:111.95pt;width:603pt;height:4.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" fillcolor="red" strokecolor="red"/>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-1143000</wp:posOffset>
              </wp:positionH>
              <wp:positionV relativeFrom="paragraph">
                <wp:posOffset>1367790</wp:posOffset>
              </wp:positionV>
              <wp:extent cx="7658100" cy="53975"/>
              <wp:effectExtent l="9525" t="5715" r="9525" b="6985"/>
              <wp:wrapNone/>
              <wp:docPr id="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53975"/>
                      </a:xfrm>
                      <a:prstGeom prst="rect">
                        <a:avLst/>
                      </a:prstGeom>
                      <a:solidFill>
                        <a:srgbClr val="339966"/>
                      </a:solidFill>
                      <a:ln w="9525">
                        <a:solidFill>
                          <a:srgbClr val="33996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74874B" id="Rectangle 21" o:spid="_x0000_s1026" style="position:absolute;margin-left:-90pt;margin-top:107.7pt;width:603pt;height: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" fillcolor="#396" strokecolor="#396"/>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-1143000</wp:posOffset>
              </wp:positionH>
              <wp:positionV relativeFrom="paragraph">
                <wp:posOffset>1482090</wp:posOffset>
              </wp:positionV>
              <wp:extent cx="7658100" cy="53975"/>
              <wp:effectExtent l="9525" t="5715" r="9525" b="6985"/>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5397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C6DEFD" id="Rectangle 20" o:spid="_x0000_s1026" style="position:absolute;margin-left:-90pt;margin-top:116.7pt;width:603pt;height: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" strokecolor="white"/>
          </w:pict>
        </mc:Fallback>
      </mc:AlternateContent>
    </w:r>
  </w:p>
  <w:p w:rsidR="007274C3" w:rsidRDefault="007274C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06144E"/>
    <w:multiLevelType w:val="hybridMultilevel"/>
    <w:tmpl w:val="86222B48"/>
    <w:lvl w:ilvl="0" w:tplc="743205AA">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0278CD"/>
    <w:multiLevelType w:val="hybridMultilevel"/>
    <w:tmpl w:val="676ADC42"/>
    <w:lvl w:ilvl="0" w:tplc="0C0A0001">
      <w:start w:val="1"/>
      <w:numFmt w:val="bullet"/>
      <w:lvlText w:val=""/>
      <w:lvlJc w:val="left"/>
      <w:pPr>
        <w:tabs>
          <w:tab w:val="num" w:pos="2130"/>
        </w:tabs>
        <w:ind w:left="2130" w:hanging="360"/>
      </w:pPr>
      <w:rPr>
        <w:rFonts w:ascii="Symbol" w:hAnsi="Symbol" w:hint="default"/>
      </w:rPr>
    </w:lvl>
    <w:lvl w:ilvl="1" w:tplc="0C0A0003" w:tentative="1">
      <w:start w:val="1"/>
      <w:numFmt w:val="bullet"/>
      <w:lvlText w:val="o"/>
      <w:lvlJc w:val="left"/>
      <w:pPr>
        <w:tabs>
          <w:tab w:val="num" w:pos="2850"/>
        </w:tabs>
        <w:ind w:left="2850" w:hanging="360"/>
      </w:pPr>
      <w:rPr>
        <w:rFonts w:ascii="Courier New" w:hAnsi="Courier New" w:cs="Courier New" w:hint="default"/>
      </w:rPr>
    </w:lvl>
    <w:lvl w:ilvl="2" w:tplc="0C0A0005" w:tentative="1">
      <w:start w:val="1"/>
      <w:numFmt w:val="bullet"/>
      <w:lvlText w:val=""/>
      <w:lvlJc w:val="left"/>
      <w:pPr>
        <w:tabs>
          <w:tab w:val="num" w:pos="3570"/>
        </w:tabs>
        <w:ind w:left="3570" w:hanging="360"/>
      </w:pPr>
      <w:rPr>
        <w:rFonts w:ascii="Wingdings" w:hAnsi="Wingdings" w:hint="default"/>
      </w:rPr>
    </w:lvl>
    <w:lvl w:ilvl="3" w:tplc="0C0A0001" w:tentative="1">
      <w:start w:val="1"/>
      <w:numFmt w:val="bullet"/>
      <w:lvlText w:val=""/>
      <w:lvlJc w:val="left"/>
      <w:pPr>
        <w:tabs>
          <w:tab w:val="num" w:pos="4290"/>
        </w:tabs>
        <w:ind w:left="4290" w:hanging="360"/>
      </w:pPr>
      <w:rPr>
        <w:rFonts w:ascii="Symbol" w:hAnsi="Symbol" w:hint="default"/>
      </w:rPr>
    </w:lvl>
    <w:lvl w:ilvl="4" w:tplc="0C0A0003" w:tentative="1">
      <w:start w:val="1"/>
      <w:numFmt w:val="bullet"/>
      <w:lvlText w:val="o"/>
      <w:lvlJc w:val="left"/>
      <w:pPr>
        <w:tabs>
          <w:tab w:val="num" w:pos="5010"/>
        </w:tabs>
        <w:ind w:left="5010" w:hanging="360"/>
      </w:pPr>
      <w:rPr>
        <w:rFonts w:ascii="Courier New" w:hAnsi="Courier New" w:cs="Courier New" w:hint="default"/>
      </w:rPr>
    </w:lvl>
    <w:lvl w:ilvl="5" w:tplc="0C0A0005" w:tentative="1">
      <w:start w:val="1"/>
      <w:numFmt w:val="bullet"/>
      <w:lvlText w:val=""/>
      <w:lvlJc w:val="left"/>
      <w:pPr>
        <w:tabs>
          <w:tab w:val="num" w:pos="5730"/>
        </w:tabs>
        <w:ind w:left="5730" w:hanging="360"/>
      </w:pPr>
      <w:rPr>
        <w:rFonts w:ascii="Wingdings" w:hAnsi="Wingdings" w:hint="default"/>
      </w:rPr>
    </w:lvl>
    <w:lvl w:ilvl="6" w:tplc="0C0A0001" w:tentative="1">
      <w:start w:val="1"/>
      <w:numFmt w:val="bullet"/>
      <w:lvlText w:val=""/>
      <w:lvlJc w:val="left"/>
      <w:pPr>
        <w:tabs>
          <w:tab w:val="num" w:pos="6450"/>
        </w:tabs>
        <w:ind w:left="6450" w:hanging="360"/>
      </w:pPr>
      <w:rPr>
        <w:rFonts w:ascii="Symbol" w:hAnsi="Symbol" w:hint="default"/>
      </w:rPr>
    </w:lvl>
    <w:lvl w:ilvl="7" w:tplc="0C0A0003" w:tentative="1">
      <w:start w:val="1"/>
      <w:numFmt w:val="bullet"/>
      <w:lvlText w:val="o"/>
      <w:lvlJc w:val="left"/>
      <w:pPr>
        <w:tabs>
          <w:tab w:val="num" w:pos="7170"/>
        </w:tabs>
        <w:ind w:left="7170" w:hanging="360"/>
      </w:pPr>
      <w:rPr>
        <w:rFonts w:ascii="Courier New" w:hAnsi="Courier New" w:cs="Courier New" w:hint="default"/>
      </w:rPr>
    </w:lvl>
    <w:lvl w:ilvl="8" w:tplc="0C0A0005" w:tentative="1">
      <w:start w:val="1"/>
      <w:numFmt w:val="bullet"/>
      <w:lvlText w:val=""/>
      <w:lvlJc w:val="left"/>
      <w:pPr>
        <w:tabs>
          <w:tab w:val="num" w:pos="7890"/>
        </w:tabs>
        <w:ind w:left="7890" w:hanging="360"/>
      </w:pPr>
      <w:rPr>
        <w:rFonts w:ascii="Wingdings" w:hAnsi="Wingdings" w:hint="default"/>
      </w:rPr>
    </w:lvl>
  </w:abstractNum>
  <w:abstractNum w:abstractNumId="2" w15:restartNumberingAfterBreak="0">
    <w:nsid w:val="2BDF4F15"/>
    <w:multiLevelType w:val="hybridMultilevel"/>
    <w:tmpl w:val="1C484A3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5742A2"/>
    <w:multiLevelType w:val="hybridMultilevel"/>
    <w:tmpl w:val="F2343EC0"/>
    <w:lvl w:ilvl="0" w:tplc="0C0A0001">
      <w:start w:val="1"/>
      <w:numFmt w:val="bullet"/>
      <w:lvlText w:val=""/>
      <w:lvlJc w:val="left"/>
      <w:pPr>
        <w:tabs>
          <w:tab w:val="num" w:pos="2130"/>
        </w:tabs>
        <w:ind w:left="2130" w:hanging="360"/>
      </w:pPr>
      <w:rPr>
        <w:rFonts w:ascii="Symbol" w:hAnsi="Symbol" w:hint="default"/>
      </w:rPr>
    </w:lvl>
    <w:lvl w:ilvl="1" w:tplc="0C0A0003" w:tentative="1">
      <w:start w:val="1"/>
      <w:numFmt w:val="bullet"/>
      <w:lvlText w:val="o"/>
      <w:lvlJc w:val="left"/>
      <w:pPr>
        <w:tabs>
          <w:tab w:val="num" w:pos="2850"/>
        </w:tabs>
        <w:ind w:left="2850" w:hanging="360"/>
      </w:pPr>
      <w:rPr>
        <w:rFonts w:ascii="Courier New" w:hAnsi="Courier New" w:cs="Courier New" w:hint="default"/>
      </w:rPr>
    </w:lvl>
    <w:lvl w:ilvl="2" w:tplc="0C0A0005" w:tentative="1">
      <w:start w:val="1"/>
      <w:numFmt w:val="bullet"/>
      <w:lvlText w:val=""/>
      <w:lvlJc w:val="left"/>
      <w:pPr>
        <w:tabs>
          <w:tab w:val="num" w:pos="3570"/>
        </w:tabs>
        <w:ind w:left="3570" w:hanging="360"/>
      </w:pPr>
      <w:rPr>
        <w:rFonts w:ascii="Wingdings" w:hAnsi="Wingdings" w:hint="default"/>
      </w:rPr>
    </w:lvl>
    <w:lvl w:ilvl="3" w:tplc="0C0A0001" w:tentative="1">
      <w:start w:val="1"/>
      <w:numFmt w:val="bullet"/>
      <w:lvlText w:val=""/>
      <w:lvlJc w:val="left"/>
      <w:pPr>
        <w:tabs>
          <w:tab w:val="num" w:pos="4290"/>
        </w:tabs>
        <w:ind w:left="4290" w:hanging="360"/>
      </w:pPr>
      <w:rPr>
        <w:rFonts w:ascii="Symbol" w:hAnsi="Symbol" w:hint="default"/>
      </w:rPr>
    </w:lvl>
    <w:lvl w:ilvl="4" w:tplc="0C0A0003" w:tentative="1">
      <w:start w:val="1"/>
      <w:numFmt w:val="bullet"/>
      <w:lvlText w:val="o"/>
      <w:lvlJc w:val="left"/>
      <w:pPr>
        <w:tabs>
          <w:tab w:val="num" w:pos="5010"/>
        </w:tabs>
        <w:ind w:left="5010" w:hanging="360"/>
      </w:pPr>
      <w:rPr>
        <w:rFonts w:ascii="Courier New" w:hAnsi="Courier New" w:cs="Courier New" w:hint="default"/>
      </w:rPr>
    </w:lvl>
    <w:lvl w:ilvl="5" w:tplc="0C0A0005" w:tentative="1">
      <w:start w:val="1"/>
      <w:numFmt w:val="bullet"/>
      <w:lvlText w:val=""/>
      <w:lvlJc w:val="left"/>
      <w:pPr>
        <w:tabs>
          <w:tab w:val="num" w:pos="5730"/>
        </w:tabs>
        <w:ind w:left="5730" w:hanging="360"/>
      </w:pPr>
      <w:rPr>
        <w:rFonts w:ascii="Wingdings" w:hAnsi="Wingdings" w:hint="default"/>
      </w:rPr>
    </w:lvl>
    <w:lvl w:ilvl="6" w:tplc="0C0A0001" w:tentative="1">
      <w:start w:val="1"/>
      <w:numFmt w:val="bullet"/>
      <w:lvlText w:val=""/>
      <w:lvlJc w:val="left"/>
      <w:pPr>
        <w:tabs>
          <w:tab w:val="num" w:pos="6450"/>
        </w:tabs>
        <w:ind w:left="6450" w:hanging="360"/>
      </w:pPr>
      <w:rPr>
        <w:rFonts w:ascii="Symbol" w:hAnsi="Symbol" w:hint="default"/>
      </w:rPr>
    </w:lvl>
    <w:lvl w:ilvl="7" w:tplc="0C0A0003" w:tentative="1">
      <w:start w:val="1"/>
      <w:numFmt w:val="bullet"/>
      <w:lvlText w:val="o"/>
      <w:lvlJc w:val="left"/>
      <w:pPr>
        <w:tabs>
          <w:tab w:val="num" w:pos="7170"/>
        </w:tabs>
        <w:ind w:left="7170" w:hanging="360"/>
      </w:pPr>
      <w:rPr>
        <w:rFonts w:ascii="Courier New" w:hAnsi="Courier New" w:cs="Courier New" w:hint="default"/>
      </w:rPr>
    </w:lvl>
    <w:lvl w:ilvl="8" w:tplc="0C0A0005" w:tentative="1">
      <w:start w:val="1"/>
      <w:numFmt w:val="bullet"/>
      <w:lvlText w:val=""/>
      <w:lvlJc w:val="left"/>
      <w:pPr>
        <w:tabs>
          <w:tab w:val="num" w:pos="7890"/>
        </w:tabs>
        <w:ind w:left="7890" w:hanging="360"/>
      </w:pPr>
      <w:rPr>
        <w:rFonts w:ascii="Wingdings" w:hAnsi="Wingdings" w:hint="default"/>
      </w:rPr>
    </w:lvl>
  </w:abstractNum>
  <w:abstractNum w:abstractNumId="4" w15:restartNumberingAfterBreak="0">
    <w:nsid w:val="2E610D5C"/>
    <w:multiLevelType w:val="hybridMultilevel"/>
    <w:tmpl w:val="AB345624"/>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3398146E"/>
    <w:multiLevelType w:val="hybridMultilevel"/>
    <w:tmpl w:val="DE1A177E"/>
    <w:lvl w:ilvl="0" w:tplc="4A1A40A2">
      <w:start w:val="1"/>
      <w:numFmt w:val="lowerLetter"/>
      <w:lvlText w:val="%1)"/>
      <w:lvlJc w:val="left"/>
      <w:pPr>
        <w:tabs>
          <w:tab w:val="num" w:pos="1980"/>
        </w:tabs>
        <w:ind w:left="1980" w:hanging="360"/>
      </w:pPr>
      <w:rPr>
        <w:rFonts w:hint="default"/>
        <w:i w:val="0"/>
      </w:rPr>
    </w:lvl>
    <w:lvl w:ilvl="1" w:tplc="0C0A0019" w:tentative="1">
      <w:start w:val="1"/>
      <w:numFmt w:val="lowerLetter"/>
      <w:lvlText w:val="%2."/>
      <w:lvlJc w:val="left"/>
      <w:pPr>
        <w:tabs>
          <w:tab w:val="num" w:pos="2700"/>
        </w:tabs>
        <w:ind w:left="2700" w:hanging="360"/>
      </w:pPr>
    </w:lvl>
    <w:lvl w:ilvl="2" w:tplc="0C0A001B" w:tentative="1">
      <w:start w:val="1"/>
      <w:numFmt w:val="lowerRoman"/>
      <w:lvlText w:val="%3."/>
      <w:lvlJc w:val="right"/>
      <w:pPr>
        <w:tabs>
          <w:tab w:val="num" w:pos="3420"/>
        </w:tabs>
        <w:ind w:left="3420" w:hanging="180"/>
      </w:pPr>
    </w:lvl>
    <w:lvl w:ilvl="3" w:tplc="0C0A000F" w:tentative="1">
      <w:start w:val="1"/>
      <w:numFmt w:val="decimal"/>
      <w:lvlText w:val="%4."/>
      <w:lvlJc w:val="left"/>
      <w:pPr>
        <w:tabs>
          <w:tab w:val="num" w:pos="4140"/>
        </w:tabs>
        <w:ind w:left="4140" w:hanging="360"/>
      </w:pPr>
    </w:lvl>
    <w:lvl w:ilvl="4" w:tplc="0C0A0019" w:tentative="1">
      <w:start w:val="1"/>
      <w:numFmt w:val="lowerLetter"/>
      <w:lvlText w:val="%5."/>
      <w:lvlJc w:val="left"/>
      <w:pPr>
        <w:tabs>
          <w:tab w:val="num" w:pos="4860"/>
        </w:tabs>
        <w:ind w:left="4860" w:hanging="360"/>
      </w:pPr>
    </w:lvl>
    <w:lvl w:ilvl="5" w:tplc="0C0A001B" w:tentative="1">
      <w:start w:val="1"/>
      <w:numFmt w:val="lowerRoman"/>
      <w:lvlText w:val="%6."/>
      <w:lvlJc w:val="right"/>
      <w:pPr>
        <w:tabs>
          <w:tab w:val="num" w:pos="5580"/>
        </w:tabs>
        <w:ind w:left="5580" w:hanging="180"/>
      </w:pPr>
    </w:lvl>
    <w:lvl w:ilvl="6" w:tplc="0C0A000F" w:tentative="1">
      <w:start w:val="1"/>
      <w:numFmt w:val="decimal"/>
      <w:lvlText w:val="%7."/>
      <w:lvlJc w:val="left"/>
      <w:pPr>
        <w:tabs>
          <w:tab w:val="num" w:pos="6300"/>
        </w:tabs>
        <w:ind w:left="6300" w:hanging="360"/>
      </w:pPr>
    </w:lvl>
    <w:lvl w:ilvl="7" w:tplc="0C0A0019" w:tentative="1">
      <w:start w:val="1"/>
      <w:numFmt w:val="lowerLetter"/>
      <w:lvlText w:val="%8."/>
      <w:lvlJc w:val="left"/>
      <w:pPr>
        <w:tabs>
          <w:tab w:val="num" w:pos="7020"/>
        </w:tabs>
        <w:ind w:left="7020" w:hanging="360"/>
      </w:pPr>
    </w:lvl>
    <w:lvl w:ilvl="8" w:tplc="0C0A001B" w:tentative="1">
      <w:start w:val="1"/>
      <w:numFmt w:val="lowerRoman"/>
      <w:lvlText w:val="%9."/>
      <w:lvlJc w:val="right"/>
      <w:pPr>
        <w:tabs>
          <w:tab w:val="num" w:pos="7740"/>
        </w:tabs>
        <w:ind w:left="7740" w:hanging="180"/>
      </w:pPr>
    </w:lvl>
  </w:abstractNum>
  <w:abstractNum w:abstractNumId="6" w15:restartNumberingAfterBreak="0">
    <w:nsid w:val="3B155FBF"/>
    <w:multiLevelType w:val="hybridMultilevel"/>
    <w:tmpl w:val="FF724820"/>
    <w:lvl w:ilvl="0" w:tplc="C2BC3558">
      <w:start w:val="4"/>
      <w:numFmt w:val="decimal"/>
      <w:lvlText w:val="%1."/>
      <w:lvlJc w:val="left"/>
      <w:pPr>
        <w:tabs>
          <w:tab w:val="num" w:pos="2130"/>
        </w:tabs>
        <w:ind w:left="2130" w:hanging="360"/>
      </w:pPr>
      <w:rPr>
        <w:rFonts w:hint="default"/>
      </w:rPr>
    </w:lvl>
    <w:lvl w:ilvl="1" w:tplc="0C0A0019" w:tentative="1">
      <w:start w:val="1"/>
      <w:numFmt w:val="lowerLetter"/>
      <w:lvlText w:val="%2."/>
      <w:lvlJc w:val="left"/>
      <w:pPr>
        <w:tabs>
          <w:tab w:val="num" w:pos="2850"/>
        </w:tabs>
        <w:ind w:left="2850" w:hanging="360"/>
      </w:pPr>
    </w:lvl>
    <w:lvl w:ilvl="2" w:tplc="0C0A001B" w:tentative="1">
      <w:start w:val="1"/>
      <w:numFmt w:val="lowerRoman"/>
      <w:lvlText w:val="%3."/>
      <w:lvlJc w:val="right"/>
      <w:pPr>
        <w:tabs>
          <w:tab w:val="num" w:pos="3570"/>
        </w:tabs>
        <w:ind w:left="3570" w:hanging="180"/>
      </w:pPr>
    </w:lvl>
    <w:lvl w:ilvl="3" w:tplc="0C0A000F" w:tentative="1">
      <w:start w:val="1"/>
      <w:numFmt w:val="decimal"/>
      <w:lvlText w:val="%4."/>
      <w:lvlJc w:val="left"/>
      <w:pPr>
        <w:tabs>
          <w:tab w:val="num" w:pos="4290"/>
        </w:tabs>
        <w:ind w:left="4290" w:hanging="360"/>
      </w:pPr>
    </w:lvl>
    <w:lvl w:ilvl="4" w:tplc="0C0A0019" w:tentative="1">
      <w:start w:val="1"/>
      <w:numFmt w:val="lowerLetter"/>
      <w:lvlText w:val="%5."/>
      <w:lvlJc w:val="left"/>
      <w:pPr>
        <w:tabs>
          <w:tab w:val="num" w:pos="5010"/>
        </w:tabs>
        <w:ind w:left="5010" w:hanging="360"/>
      </w:pPr>
    </w:lvl>
    <w:lvl w:ilvl="5" w:tplc="0C0A001B" w:tentative="1">
      <w:start w:val="1"/>
      <w:numFmt w:val="lowerRoman"/>
      <w:lvlText w:val="%6."/>
      <w:lvlJc w:val="right"/>
      <w:pPr>
        <w:tabs>
          <w:tab w:val="num" w:pos="5730"/>
        </w:tabs>
        <w:ind w:left="5730" w:hanging="180"/>
      </w:pPr>
    </w:lvl>
    <w:lvl w:ilvl="6" w:tplc="0C0A000F" w:tentative="1">
      <w:start w:val="1"/>
      <w:numFmt w:val="decimal"/>
      <w:lvlText w:val="%7."/>
      <w:lvlJc w:val="left"/>
      <w:pPr>
        <w:tabs>
          <w:tab w:val="num" w:pos="6450"/>
        </w:tabs>
        <w:ind w:left="6450" w:hanging="360"/>
      </w:pPr>
    </w:lvl>
    <w:lvl w:ilvl="7" w:tplc="0C0A0019" w:tentative="1">
      <w:start w:val="1"/>
      <w:numFmt w:val="lowerLetter"/>
      <w:lvlText w:val="%8."/>
      <w:lvlJc w:val="left"/>
      <w:pPr>
        <w:tabs>
          <w:tab w:val="num" w:pos="7170"/>
        </w:tabs>
        <w:ind w:left="7170" w:hanging="360"/>
      </w:pPr>
    </w:lvl>
    <w:lvl w:ilvl="8" w:tplc="0C0A001B" w:tentative="1">
      <w:start w:val="1"/>
      <w:numFmt w:val="lowerRoman"/>
      <w:lvlText w:val="%9."/>
      <w:lvlJc w:val="right"/>
      <w:pPr>
        <w:tabs>
          <w:tab w:val="num" w:pos="7890"/>
        </w:tabs>
        <w:ind w:left="7890" w:hanging="180"/>
      </w:pPr>
    </w:lvl>
  </w:abstractNum>
  <w:abstractNum w:abstractNumId="7" w15:restartNumberingAfterBreak="0">
    <w:nsid w:val="408448A5"/>
    <w:multiLevelType w:val="hybridMultilevel"/>
    <w:tmpl w:val="6FE40BB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3D84E5D"/>
    <w:multiLevelType w:val="hybridMultilevel"/>
    <w:tmpl w:val="9CB4281A"/>
    <w:lvl w:ilvl="0" w:tplc="0C0A000F">
      <w:start w:val="1"/>
      <w:numFmt w:val="decimal"/>
      <w:lvlText w:val="%1."/>
      <w:lvlJc w:val="left"/>
      <w:pPr>
        <w:tabs>
          <w:tab w:val="num" w:pos="2130"/>
        </w:tabs>
        <w:ind w:left="2130" w:hanging="360"/>
      </w:pPr>
    </w:lvl>
    <w:lvl w:ilvl="1" w:tplc="0C0A0019" w:tentative="1">
      <w:start w:val="1"/>
      <w:numFmt w:val="lowerLetter"/>
      <w:lvlText w:val="%2."/>
      <w:lvlJc w:val="left"/>
      <w:pPr>
        <w:tabs>
          <w:tab w:val="num" w:pos="2850"/>
        </w:tabs>
        <w:ind w:left="2850" w:hanging="360"/>
      </w:pPr>
    </w:lvl>
    <w:lvl w:ilvl="2" w:tplc="0C0A001B" w:tentative="1">
      <w:start w:val="1"/>
      <w:numFmt w:val="lowerRoman"/>
      <w:lvlText w:val="%3."/>
      <w:lvlJc w:val="right"/>
      <w:pPr>
        <w:tabs>
          <w:tab w:val="num" w:pos="3570"/>
        </w:tabs>
        <w:ind w:left="3570" w:hanging="180"/>
      </w:pPr>
    </w:lvl>
    <w:lvl w:ilvl="3" w:tplc="0C0A000F" w:tentative="1">
      <w:start w:val="1"/>
      <w:numFmt w:val="decimal"/>
      <w:lvlText w:val="%4."/>
      <w:lvlJc w:val="left"/>
      <w:pPr>
        <w:tabs>
          <w:tab w:val="num" w:pos="4290"/>
        </w:tabs>
        <w:ind w:left="4290" w:hanging="360"/>
      </w:pPr>
    </w:lvl>
    <w:lvl w:ilvl="4" w:tplc="0C0A0019" w:tentative="1">
      <w:start w:val="1"/>
      <w:numFmt w:val="lowerLetter"/>
      <w:lvlText w:val="%5."/>
      <w:lvlJc w:val="left"/>
      <w:pPr>
        <w:tabs>
          <w:tab w:val="num" w:pos="5010"/>
        </w:tabs>
        <w:ind w:left="5010" w:hanging="360"/>
      </w:pPr>
    </w:lvl>
    <w:lvl w:ilvl="5" w:tplc="0C0A001B" w:tentative="1">
      <w:start w:val="1"/>
      <w:numFmt w:val="lowerRoman"/>
      <w:lvlText w:val="%6."/>
      <w:lvlJc w:val="right"/>
      <w:pPr>
        <w:tabs>
          <w:tab w:val="num" w:pos="5730"/>
        </w:tabs>
        <w:ind w:left="5730" w:hanging="180"/>
      </w:pPr>
    </w:lvl>
    <w:lvl w:ilvl="6" w:tplc="0C0A000F" w:tentative="1">
      <w:start w:val="1"/>
      <w:numFmt w:val="decimal"/>
      <w:lvlText w:val="%7."/>
      <w:lvlJc w:val="left"/>
      <w:pPr>
        <w:tabs>
          <w:tab w:val="num" w:pos="6450"/>
        </w:tabs>
        <w:ind w:left="6450" w:hanging="360"/>
      </w:pPr>
    </w:lvl>
    <w:lvl w:ilvl="7" w:tplc="0C0A0019" w:tentative="1">
      <w:start w:val="1"/>
      <w:numFmt w:val="lowerLetter"/>
      <w:lvlText w:val="%8."/>
      <w:lvlJc w:val="left"/>
      <w:pPr>
        <w:tabs>
          <w:tab w:val="num" w:pos="7170"/>
        </w:tabs>
        <w:ind w:left="7170" w:hanging="360"/>
      </w:pPr>
    </w:lvl>
    <w:lvl w:ilvl="8" w:tplc="0C0A001B" w:tentative="1">
      <w:start w:val="1"/>
      <w:numFmt w:val="lowerRoman"/>
      <w:lvlText w:val="%9."/>
      <w:lvlJc w:val="right"/>
      <w:pPr>
        <w:tabs>
          <w:tab w:val="num" w:pos="7890"/>
        </w:tabs>
        <w:ind w:left="7890" w:hanging="180"/>
      </w:pPr>
    </w:lvl>
  </w:abstractNum>
  <w:abstractNum w:abstractNumId="9" w15:restartNumberingAfterBreak="0">
    <w:nsid w:val="56EB3F0B"/>
    <w:multiLevelType w:val="hybridMultilevel"/>
    <w:tmpl w:val="266EA918"/>
    <w:lvl w:ilvl="0" w:tplc="43DCA602">
      <w:start w:val="1"/>
      <w:numFmt w:val="bullet"/>
      <w:lvlText w:val="-"/>
      <w:lvlJc w:val="left"/>
      <w:pPr>
        <w:tabs>
          <w:tab w:val="num" w:pos="1965"/>
        </w:tabs>
        <w:ind w:left="1965" w:hanging="525"/>
      </w:pPr>
      <w:rPr>
        <w:rFonts w:ascii="Arial" w:eastAsia="Times New Roman" w:hAnsi="Arial" w:cs="Arial" w:hint="default"/>
      </w:rPr>
    </w:lvl>
    <w:lvl w:ilvl="1" w:tplc="0C0A0003" w:tentative="1">
      <w:start w:val="1"/>
      <w:numFmt w:val="bullet"/>
      <w:lvlText w:val="o"/>
      <w:lvlJc w:val="left"/>
      <w:pPr>
        <w:tabs>
          <w:tab w:val="num" w:pos="2520"/>
        </w:tabs>
        <w:ind w:left="2520" w:hanging="360"/>
      </w:pPr>
      <w:rPr>
        <w:rFonts w:ascii="Courier New" w:hAnsi="Courier New" w:cs="Courier New" w:hint="default"/>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cs="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cs="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654606DD"/>
    <w:multiLevelType w:val="hybridMultilevel"/>
    <w:tmpl w:val="971C71FE"/>
    <w:lvl w:ilvl="0" w:tplc="A3B24FD8">
      <w:start w:val="1"/>
      <w:numFmt w:val="decimal"/>
      <w:lvlText w:val="%1."/>
      <w:lvlJc w:val="left"/>
      <w:pPr>
        <w:tabs>
          <w:tab w:val="num" w:pos="2340"/>
        </w:tabs>
        <w:ind w:left="2340" w:hanging="360"/>
      </w:pPr>
      <w:rPr>
        <w:rFonts w:hint="default"/>
      </w:rPr>
    </w:lvl>
    <w:lvl w:ilvl="1" w:tplc="0C0A0019" w:tentative="1">
      <w:start w:val="1"/>
      <w:numFmt w:val="lowerLetter"/>
      <w:lvlText w:val="%2."/>
      <w:lvlJc w:val="left"/>
      <w:pPr>
        <w:tabs>
          <w:tab w:val="num" w:pos="3060"/>
        </w:tabs>
        <w:ind w:left="3060" w:hanging="360"/>
      </w:pPr>
    </w:lvl>
    <w:lvl w:ilvl="2" w:tplc="0C0A001B" w:tentative="1">
      <w:start w:val="1"/>
      <w:numFmt w:val="lowerRoman"/>
      <w:lvlText w:val="%3."/>
      <w:lvlJc w:val="right"/>
      <w:pPr>
        <w:tabs>
          <w:tab w:val="num" w:pos="3780"/>
        </w:tabs>
        <w:ind w:left="3780" w:hanging="180"/>
      </w:pPr>
    </w:lvl>
    <w:lvl w:ilvl="3" w:tplc="0C0A000F" w:tentative="1">
      <w:start w:val="1"/>
      <w:numFmt w:val="decimal"/>
      <w:lvlText w:val="%4."/>
      <w:lvlJc w:val="left"/>
      <w:pPr>
        <w:tabs>
          <w:tab w:val="num" w:pos="4500"/>
        </w:tabs>
        <w:ind w:left="4500" w:hanging="360"/>
      </w:pPr>
    </w:lvl>
    <w:lvl w:ilvl="4" w:tplc="0C0A0019" w:tentative="1">
      <w:start w:val="1"/>
      <w:numFmt w:val="lowerLetter"/>
      <w:lvlText w:val="%5."/>
      <w:lvlJc w:val="left"/>
      <w:pPr>
        <w:tabs>
          <w:tab w:val="num" w:pos="5220"/>
        </w:tabs>
        <w:ind w:left="5220" w:hanging="360"/>
      </w:pPr>
    </w:lvl>
    <w:lvl w:ilvl="5" w:tplc="0C0A001B" w:tentative="1">
      <w:start w:val="1"/>
      <w:numFmt w:val="lowerRoman"/>
      <w:lvlText w:val="%6."/>
      <w:lvlJc w:val="right"/>
      <w:pPr>
        <w:tabs>
          <w:tab w:val="num" w:pos="5940"/>
        </w:tabs>
        <w:ind w:left="5940" w:hanging="180"/>
      </w:pPr>
    </w:lvl>
    <w:lvl w:ilvl="6" w:tplc="0C0A000F" w:tentative="1">
      <w:start w:val="1"/>
      <w:numFmt w:val="decimal"/>
      <w:lvlText w:val="%7."/>
      <w:lvlJc w:val="left"/>
      <w:pPr>
        <w:tabs>
          <w:tab w:val="num" w:pos="6660"/>
        </w:tabs>
        <w:ind w:left="6660" w:hanging="360"/>
      </w:pPr>
    </w:lvl>
    <w:lvl w:ilvl="7" w:tplc="0C0A0019" w:tentative="1">
      <w:start w:val="1"/>
      <w:numFmt w:val="lowerLetter"/>
      <w:lvlText w:val="%8."/>
      <w:lvlJc w:val="left"/>
      <w:pPr>
        <w:tabs>
          <w:tab w:val="num" w:pos="7380"/>
        </w:tabs>
        <w:ind w:left="7380" w:hanging="360"/>
      </w:pPr>
    </w:lvl>
    <w:lvl w:ilvl="8" w:tplc="0C0A001B" w:tentative="1">
      <w:start w:val="1"/>
      <w:numFmt w:val="lowerRoman"/>
      <w:lvlText w:val="%9."/>
      <w:lvlJc w:val="right"/>
      <w:pPr>
        <w:tabs>
          <w:tab w:val="num" w:pos="8100"/>
        </w:tabs>
        <w:ind w:left="8100" w:hanging="180"/>
      </w:pPr>
    </w:lvl>
  </w:abstractNum>
  <w:abstractNum w:abstractNumId="11" w15:restartNumberingAfterBreak="0">
    <w:nsid w:val="6E5C1BAC"/>
    <w:multiLevelType w:val="hybridMultilevel"/>
    <w:tmpl w:val="0E540F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6951286"/>
    <w:multiLevelType w:val="hybridMultilevel"/>
    <w:tmpl w:val="DA466646"/>
    <w:lvl w:ilvl="0" w:tplc="0B3E9DF8">
      <w:start w:val="1"/>
      <w:numFmt w:val="decimal"/>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13" w15:restartNumberingAfterBreak="0">
    <w:nsid w:val="7AA96890"/>
    <w:multiLevelType w:val="hybridMultilevel"/>
    <w:tmpl w:val="DBFC058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7"/>
  </w:num>
  <w:num w:numId="3">
    <w:abstractNumId w:val="8"/>
  </w:num>
  <w:num w:numId="4">
    <w:abstractNumId w:val="12"/>
  </w:num>
  <w:num w:numId="5">
    <w:abstractNumId w:val="5"/>
  </w:num>
  <w:num w:numId="6">
    <w:abstractNumId w:val="9"/>
  </w:num>
  <w:num w:numId="7">
    <w:abstractNumId w:val="1"/>
  </w:num>
  <w:num w:numId="8">
    <w:abstractNumId w:val="3"/>
  </w:num>
  <w:num w:numId="9">
    <w:abstractNumId w:val="10"/>
  </w:num>
  <w:num w:numId="10">
    <w:abstractNumId w:val="6"/>
  </w:num>
  <w:num w:numId="11">
    <w:abstractNumId w:val="0"/>
  </w:num>
  <w:num w:numId="12">
    <w:abstractNumId w:val="2"/>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E68"/>
    <w:rsid w:val="00003730"/>
    <w:rsid w:val="00004479"/>
    <w:rsid w:val="00004789"/>
    <w:rsid w:val="00004B68"/>
    <w:rsid w:val="00007B64"/>
    <w:rsid w:val="000103C5"/>
    <w:rsid w:val="0001062F"/>
    <w:rsid w:val="0001112F"/>
    <w:rsid w:val="000127A7"/>
    <w:rsid w:val="0001281A"/>
    <w:rsid w:val="0002071A"/>
    <w:rsid w:val="0002413F"/>
    <w:rsid w:val="000251BB"/>
    <w:rsid w:val="00043211"/>
    <w:rsid w:val="00045AF7"/>
    <w:rsid w:val="0005141F"/>
    <w:rsid w:val="0005306F"/>
    <w:rsid w:val="00061FF8"/>
    <w:rsid w:val="00063E03"/>
    <w:rsid w:val="0006402A"/>
    <w:rsid w:val="000710F8"/>
    <w:rsid w:val="000741AC"/>
    <w:rsid w:val="00074275"/>
    <w:rsid w:val="00074528"/>
    <w:rsid w:val="0008433C"/>
    <w:rsid w:val="000846F3"/>
    <w:rsid w:val="00087B6C"/>
    <w:rsid w:val="000925DB"/>
    <w:rsid w:val="00094875"/>
    <w:rsid w:val="00095B25"/>
    <w:rsid w:val="00096F54"/>
    <w:rsid w:val="000A16FD"/>
    <w:rsid w:val="000B4CEC"/>
    <w:rsid w:val="000C5C4F"/>
    <w:rsid w:val="000C5ECA"/>
    <w:rsid w:val="000C7615"/>
    <w:rsid w:val="000D3BBC"/>
    <w:rsid w:val="000D5D82"/>
    <w:rsid w:val="000D77A8"/>
    <w:rsid w:val="000E0205"/>
    <w:rsid w:val="000F0E77"/>
    <w:rsid w:val="000F26C5"/>
    <w:rsid w:val="00110D9D"/>
    <w:rsid w:val="00111E71"/>
    <w:rsid w:val="00112138"/>
    <w:rsid w:val="00115538"/>
    <w:rsid w:val="0011586D"/>
    <w:rsid w:val="00117B1D"/>
    <w:rsid w:val="00125317"/>
    <w:rsid w:val="00132DB9"/>
    <w:rsid w:val="00134399"/>
    <w:rsid w:val="00140CF2"/>
    <w:rsid w:val="00142FC4"/>
    <w:rsid w:val="0017022E"/>
    <w:rsid w:val="0017225E"/>
    <w:rsid w:val="0017568F"/>
    <w:rsid w:val="001769CF"/>
    <w:rsid w:val="00182E92"/>
    <w:rsid w:val="00192CDA"/>
    <w:rsid w:val="0019629F"/>
    <w:rsid w:val="001A592E"/>
    <w:rsid w:val="001B0576"/>
    <w:rsid w:val="001C2B1A"/>
    <w:rsid w:val="001C393F"/>
    <w:rsid w:val="001D4E68"/>
    <w:rsid w:val="001D5E55"/>
    <w:rsid w:val="001E183C"/>
    <w:rsid w:val="001E5EEB"/>
    <w:rsid w:val="0020339F"/>
    <w:rsid w:val="00207D08"/>
    <w:rsid w:val="00211675"/>
    <w:rsid w:val="002130CD"/>
    <w:rsid w:val="00215B66"/>
    <w:rsid w:val="002164CB"/>
    <w:rsid w:val="00216CA5"/>
    <w:rsid w:val="0021706E"/>
    <w:rsid w:val="00220A15"/>
    <w:rsid w:val="00223757"/>
    <w:rsid w:val="002307EC"/>
    <w:rsid w:val="00232066"/>
    <w:rsid w:val="002327C9"/>
    <w:rsid w:val="002434EF"/>
    <w:rsid w:val="00246697"/>
    <w:rsid w:val="00246EDE"/>
    <w:rsid w:val="00250416"/>
    <w:rsid w:val="00267139"/>
    <w:rsid w:val="00275380"/>
    <w:rsid w:val="002846B0"/>
    <w:rsid w:val="00290F12"/>
    <w:rsid w:val="002926ED"/>
    <w:rsid w:val="00294636"/>
    <w:rsid w:val="00295FBB"/>
    <w:rsid w:val="002A5C03"/>
    <w:rsid w:val="002A6219"/>
    <w:rsid w:val="002B0175"/>
    <w:rsid w:val="002B128F"/>
    <w:rsid w:val="002B2ACB"/>
    <w:rsid w:val="002B6992"/>
    <w:rsid w:val="002C3855"/>
    <w:rsid w:val="002C63A4"/>
    <w:rsid w:val="002C66F5"/>
    <w:rsid w:val="002D17E3"/>
    <w:rsid w:val="002D39D6"/>
    <w:rsid w:val="002D5F33"/>
    <w:rsid w:val="002E2077"/>
    <w:rsid w:val="002E2ECF"/>
    <w:rsid w:val="002E7A80"/>
    <w:rsid w:val="002F13E4"/>
    <w:rsid w:val="00314E7B"/>
    <w:rsid w:val="0031784D"/>
    <w:rsid w:val="00321B06"/>
    <w:rsid w:val="00323DE2"/>
    <w:rsid w:val="00324C8A"/>
    <w:rsid w:val="00342DFA"/>
    <w:rsid w:val="0035027E"/>
    <w:rsid w:val="00367538"/>
    <w:rsid w:val="0037647B"/>
    <w:rsid w:val="00382027"/>
    <w:rsid w:val="003900F1"/>
    <w:rsid w:val="00391220"/>
    <w:rsid w:val="00394979"/>
    <w:rsid w:val="00395E7A"/>
    <w:rsid w:val="00397E86"/>
    <w:rsid w:val="00397EF9"/>
    <w:rsid w:val="003A08EB"/>
    <w:rsid w:val="003A194E"/>
    <w:rsid w:val="003A4483"/>
    <w:rsid w:val="003B056E"/>
    <w:rsid w:val="003B1ED5"/>
    <w:rsid w:val="003C3171"/>
    <w:rsid w:val="003C6B46"/>
    <w:rsid w:val="003C7235"/>
    <w:rsid w:val="003D57E2"/>
    <w:rsid w:val="003D62F8"/>
    <w:rsid w:val="003E2A22"/>
    <w:rsid w:val="003E4EF5"/>
    <w:rsid w:val="003E78F4"/>
    <w:rsid w:val="003F0C57"/>
    <w:rsid w:val="003F4654"/>
    <w:rsid w:val="004016B1"/>
    <w:rsid w:val="00401906"/>
    <w:rsid w:val="00404D27"/>
    <w:rsid w:val="00406D4D"/>
    <w:rsid w:val="004100E4"/>
    <w:rsid w:val="004141F4"/>
    <w:rsid w:val="00416526"/>
    <w:rsid w:val="0042369D"/>
    <w:rsid w:val="00424015"/>
    <w:rsid w:val="00426FF2"/>
    <w:rsid w:val="0042726D"/>
    <w:rsid w:val="004305C0"/>
    <w:rsid w:val="00430BF1"/>
    <w:rsid w:val="00432967"/>
    <w:rsid w:val="004351D2"/>
    <w:rsid w:val="004366F0"/>
    <w:rsid w:val="004375C4"/>
    <w:rsid w:val="00447349"/>
    <w:rsid w:val="0045340C"/>
    <w:rsid w:val="00457425"/>
    <w:rsid w:val="004722F0"/>
    <w:rsid w:val="00475285"/>
    <w:rsid w:val="0048010E"/>
    <w:rsid w:val="004814A7"/>
    <w:rsid w:val="004828BC"/>
    <w:rsid w:val="00483D88"/>
    <w:rsid w:val="00486001"/>
    <w:rsid w:val="00494CE9"/>
    <w:rsid w:val="00496156"/>
    <w:rsid w:val="00497B79"/>
    <w:rsid w:val="004A1D62"/>
    <w:rsid w:val="004A233D"/>
    <w:rsid w:val="004A7581"/>
    <w:rsid w:val="004B1B82"/>
    <w:rsid w:val="004B54E3"/>
    <w:rsid w:val="004C2A9A"/>
    <w:rsid w:val="004C33B6"/>
    <w:rsid w:val="004C54D0"/>
    <w:rsid w:val="004C72AF"/>
    <w:rsid w:val="004D7E25"/>
    <w:rsid w:val="004E0D2F"/>
    <w:rsid w:val="004E173B"/>
    <w:rsid w:val="004E7643"/>
    <w:rsid w:val="00506414"/>
    <w:rsid w:val="00510918"/>
    <w:rsid w:val="00516F9C"/>
    <w:rsid w:val="005231E9"/>
    <w:rsid w:val="005232AD"/>
    <w:rsid w:val="00525821"/>
    <w:rsid w:val="0053587F"/>
    <w:rsid w:val="005364AF"/>
    <w:rsid w:val="005529F9"/>
    <w:rsid w:val="00553696"/>
    <w:rsid w:val="00564A4B"/>
    <w:rsid w:val="00564FF5"/>
    <w:rsid w:val="00571C26"/>
    <w:rsid w:val="00577C31"/>
    <w:rsid w:val="00580517"/>
    <w:rsid w:val="00584EE9"/>
    <w:rsid w:val="0059799A"/>
    <w:rsid w:val="005A1841"/>
    <w:rsid w:val="005A32F7"/>
    <w:rsid w:val="005A497F"/>
    <w:rsid w:val="005C0355"/>
    <w:rsid w:val="005C5617"/>
    <w:rsid w:val="005D01F7"/>
    <w:rsid w:val="005D2174"/>
    <w:rsid w:val="005D3173"/>
    <w:rsid w:val="005E77D9"/>
    <w:rsid w:val="005F29F3"/>
    <w:rsid w:val="005F6B89"/>
    <w:rsid w:val="005F760A"/>
    <w:rsid w:val="006030EB"/>
    <w:rsid w:val="00605A28"/>
    <w:rsid w:val="006144CB"/>
    <w:rsid w:val="00622C3E"/>
    <w:rsid w:val="006236AC"/>
    <w:rsid w:val="00627CAB"/>
    <w:rsid w:val="00632A26"/>
    <w:rsid w:val="006347E5"/>
    <w:rsid w:val="006437E8"/>
    <w:rsid w:val="00646930"/>
    <w:rsid w:val="006537B9"/>
    <w:rsid w:val="00660864"/>
    <w:rsid w:val="00673165"/>
    <w:rsid w:val="006750D7"/>
    <w:rsid w:val="00675D63"/>
    <w:rsid w:val="00687767"/>
    <w:rsid w:val="006936E5"/>
    <w:rsid w:val="006A18EF"/>
    <w:rsid w:val="006A30E2"/>
    <w:rsid w:val="006B7C6E"/>
    <w:rsid w:val="006C1840"/>
    <w:rsid w:val="006D27C9"/>
    <w:rsid w:val="006D4492"/>
    <w:rsid w:val="006D5562"/>
    <w:rsid w:val="006D6074"/>
    <w:rsid w:val="006F6C49"/>
    <w:rsid w:val="007026EB"/>
    <w:rsid w:val="00706B23"/>
    <w:rsid w:val="0070797B"/>
    <w:rsid w:val="00720B21"/>
    <w:rsid w:val="007212CB"/>
    <w:rsid w:val="0072498A"/>
    <w:rsid w:val="007255AC"/>
    <w:rsid w:val="00725FC4"/>
    <w:rsid w:val="007274C3"/>
    <w:rsid w:val="00727EED"/>
    <w:rsid w:val="0073211A"/>
    <w:rsid w:val="00732492"/>
    <w:rsid w:val="007420F6"/>
    <w:rsid w:val="00744BCD"/>
    <w:rsid w:val="007548AE"/>
    <w:rsid w:val="00760C77"/>
    <w:rsid w:val="00771C88"/>
    <w:rsid w:val="007741D1"/>
    <w:rsid w:val="007764A3"/>
    <w:rsid w:val="0077664C"/>
    <w:rsid w:val="00780322"/>
    <w:rsid w:val="007805BD"/>
    <w:rsid w:val="00787FA7"/>
    <w:rsid w:val="00794A3A"/>
    <w:rsid w:val="0079527D"/>
    <w:rsid w:val="0079769F"/>
    <w:rsid w:val="007A58B1"/>
    <w:rsid w:val="007B1CAB"/>
    <w:rsid w:val="007C5A5E"/>
    <w:rsid w:val="007C6AF6"/>
    <w:rsid w:val="007C702E"/>
    <w:rsid w:val="007D07B0"/>
    <w:rsid w:val="007D170C"/>
    <w:rsid w:val="007D31FA"/>
    <w:rsid w:val="007E3D48"/>
    <w:rsid w:val="007F392E"/>
    <w:rsid w:val="007F58E6"/>
    <w:rsid w:val="007F7897"/>
    <w:rsid w:val="0080087F"/>
    <w:rsid w:val="00803BBE"/>
    <w:rsid w:val="00803C69"/>
    <w:rsid w:val="00806257"/>
    <w:rsid w:val="0081222C"/>
    <w:rsid w:val="0082419B"/>
    <w:rsid w:val="0082468B"/>
    <w:rsid w:val="008253E8"/>
    <w:rsid w:val="00825C0A"/>
    <w:rsid w:val="00832F42"/>
    <w:rsid w:val="00835A5A"/>
    <w:rsid w:val="0084234F"/>
    <w:rsid w:val="00857EB8"/>
    <w:rsid w:val="00862139"/>
    <w:rsid w:val="008675F9"/>
    <w:rsid w:val="00867893"/>
    <w:rsid w:val="00867D17"/>
    <w:rsid w:val="00884F79"/>
    <w:rsid w:val="008864F2"/>
    <w:rsid w:val="008939D6"/>
    <w:rsid w:val="008941DF"/>
    <w:rsid w:val="00897E9B"/>
    <w:rsid w:val="008A23B0"/>
    <w:rsid w:val="008A3787"/>
    <w:rsid w:val="008A6CFC"/>
    <w:rsid w:val="008A7A3D"/>
    <w:rsid w:val="008B42BF"/>
    <w:rsid w:val="008B42DD"/>
    <w:rsid w:val="008C15AF"/>
    <w:rsid w:val="008C420F"/>
    <w:rsid w:val="008C4636"/>
    <w:rsid w:val="008D4360"/>
    <w:rsid w:val="008D69D0"/>
    <w:rsid w:val="008E4B93"/>
    <w:rsid w:val="008E6BB9"/>
    <w:rsid w:val="008F0B17"/>
    <w:rsid w:val="008F162A"/>
    <w:rsid w:val="008F20DF"/>
    <w:rsid w:val="00901053"/>
    <w:rsid w:val="0091597F"/>
    <w:rsid w:val="009159C0"/>
    <w:rsid w:val="00926629"/>
    <w:rsid w:val="009315FF"/>
    <w:rsid w:val="00931ACF"/>
    <w:rsid w:val="00934B1C"/>
    <w:rsid w:val="0093503A"/>
    <w:rsid w:val="009364A6"/>
    <w:rsid w:val="009403EF"/>
    <w:rsid w:val="00941D19"/>
    <w:rsid w:val="00956D4F"/>
    <w:rsid w:val="009661E3"/>
    <w:rsid w:val="00972B75"/>
    <w:rsid w:val="0097326B"/>
    <w:rsid w:val="009819FD"/>
    <w:rsid w:val="009828DD"/>
    <w:rsid w:val="009854FE"/>
    <w:rsid w:val="009865B3"/>
    <w:rsid w:val="00994E24"/>
    <w:rsid w:val="009A3732"/>
    <w:rsid w:val="009A6A8D"/>
    <w:rsid w:val="009B0C4A"/>
    <w:rsid w:val="009B0DC2"/>
    <w:rsid w:val="009B10E1"/>
    <w:rsid w:val="009B38D6"/>
    <w:rsid w:val="009C268E"/>
    <w:rsid w:val="009C5EE2"/>
    <w:rsid w:val="009C71AD"/>
    <w:rsid w:val="009D0D70"/>
    <w:rsid w:val="009D0FE9"/>
    <w:rsid w:val="009D5268"/>
    <w:rsid w:val="009E104A"/>
    <w:rsid w:val="009F1C9C"/>
    <w:rsid w:val="009F338E"/>
    <w:rsid w:val="009F3CD8"/>
    <w:rsid w:val="009F73CD"/>
    <w:rsid w:val="00A0109D"/>
    <w:rsid w:val="00A01902"/>
    <w:rsid w:val="00A02D73"/>
    <w:rsid w:val="00A10872"/>
    <w:rsid w:val="00A14F9A"/>
    <w:rsid w:val="00A201E4"/>
    <w:rsid w:val="00A23F48"/>
    <w:rsid w:val="00A25AD5"/>
    <w:rsid w:val="00A2743B"/>
    <w:rsid w:val="00A33355"/>
    <w:rsid w:val="00A34136"/>
    <w:rsid w:val="00A35F81"/>
    <w:rsid w:val="00A525DF"/>
    <w:rsid w:val="00A7320C"/>
    <w:rsid w:val="00A837FA"/>
    <w:rsid w:val="00A876E4"/>
    <w:rsid w:val="00AA1253"/>
    <w:rsid w:val="00AA602E"/>
    <w:rsid w:val="00AB2170"/>
    <w:rsid w:val="00AB4E33"/>
    <w:rsid w:val="00AC2638"/>
    <w:rsid w:val="00AC7AFC"/>
    <w:rsid w:val="00AD31FA"/>
    <w:rsid w:val="00AE3F4E"/>
    <w:rsid w:val="00AE7E01"/>
    <w:rsid w:val="00AF7179"/>
    <w:rsid w:val="00B05374"/>
    <w:rsid w:val="00B07935"/>
    <w:rsid w:val="00B12095"/>
    <w:rsid w:val="00B14C3C"/>
    <w:rsid w:val="00B170C1"/>
    <w:rsid w:val="00B22369"/>
    <w:rsid w:val="00B24DB5"/>
    <w:rsid w:val="00B35EF4"/>
    <w:rsid w:val="00B37A78"/>
    <w:rsid w:val="00B41D51"/>
    <w:rsid w:val="00B42390"/>
    <w:rsid w:val="00B4709E"/>
    <w:rsid w:val="00B50B0F"/>
    <w:rsid w:val="00B51738"/>
    <w:rsid w:val="00B633C4"/>
    <w:rsid w:val="00B64628"/>
    <w:rsid w:val="00B71C78"/>
    <w:rsid w:val="00B9186F"/>
    <w:rsid w:val="00B91C08"/>
    <w:rsid w:val="00B92AAC"/>
    <w:rsid w:val="00BA7199"/>
    <w:rsid w:val="00BD1287"/>
    <w:rsid w:val="00BD16E9"/>
    <w:rsid w:val="00BD3A31"/>
    <w:rsid w:val="00BD445B"/>
    <w:rsid w:val="00BD454D"/>
    <w:rsid w:val="00BE56C6"/>
    <w:rsid w:val="00BE7975"/>
    <w:rsid w:val="00BF0BF5"/>
    <w:rsid w:val="00BF3CE0"/>
    <w:rsid w:val="00C02BC8"/>
    <w:rsid w:val="00C03039"/>
    <w:rsid w:val="00C05B09"/>
    <w:rsid w:val="00C05D1D"/>
    <w:rsid w:val="00C12FA3"/>
    <w:rsid w:val="00C17579"/>
    <w:rsid w:val="00C205E0"/>
    <w:rsid w:val="00C20F30"/>
    <w:rsid w:val="00C21743"/>
    <w:rsid w:val="00C313CE"/>
    <w:rsid w:val="00C3398A"/>
    <w:rsid w:val="00C339B5"/>
    <w:rsid w:val="00C365AE"/>
    <w:rsid w:val="00C460E9"/>
    <w:rsid w:val="00C52D4B"/>
    <w:rsid w:val="00C608B5"/>
    <w:rsid w:val="00C60CAF"/>
    <w:rsid w:val="00C60FED"/>
    <w:rsid w:val="00C676F2"/>
    <w:rsid w:val="00C70D0B"/>
    <w:rsid w:val="00C7132B"/>
    <w:rsid w:val="00C74D4E"/>
    <w:rsid w:val="00C8270D"/>
    <w:rsid w:val="00C838A1"/>
    <w:rsid w:val="00C83A9C"/>
    <w:rsid w:val="00C876B9"/>
    <w:rsid w:val="00C91886"/>
    <w:rsid w:val="00C93F9A"/>
    <w:rsid w:val="00C961A0"/>
    <w:rsid w:val="00C969C5"/>
    <w:rsid w:val="00CA6718"/>
    <w:rsid w:val="00CB7BF8"/>
    <w:rsid w:val="00CB7CEF"/>
    <w:rsid w:val="00CE7114"/>
    <w:rsid w:val="00CF4725"/>
    <w:rsid w:val="00CF583F"/>
    <w:rsid w:val="00D0141A"/>
    <w:rsid w:val="00D1403F"/>
    <w:rsid w:val="00D201BA"/>
    <w:rsid w:val="00D22466"/>
    <w:rsid w:val="00D23968"/>
    <w:rsid w:val="00D24A00"/>
    <w:rsid w:val="00D32443"/>
    <w:rsid w:val="00D362F0"/>
    <w:rsid w:val="00D364DE"/>
    <w:rsid w:val="00D51098"/>
    <w:rsid w:val="00D5173F"/>
    <w:rsid w:val="00D5250C"/>
    <w:rsid w:val="00D5480D"/>
    <w:rsid w:val="00D553A2"/>
    <w:rsid w:val="00D56783"/>
    <w:rsid w:val="00D609CE"/>
    <w:rsid w:val="00D60C9C"/>
    <w:rsid w:val="00D627CB"/>
    <w:rsid w:val="00D734E6"/>
    <w:rsid w:val="00D7469A"/>
    <w:rsid w:val="00D7557B"/>
    <w:rsid w:val="00D858D5"/>
    <w:rsid w:val="00D86006"/>
    <w:rsid w:val="00D915E8"/>
    <w:rsid w:val="00D94E48"/>
    <w:rsid w:val="00D94EE3"/>
    <w:rsid w:val="00DA093B"/>
    <w:rsid w:val="00DA3077"/>
    <w:rsid w:val="00DB4950"/>
    <w:rsid w:val="00DD38F9"/>
    <w:rsid w:val="00DE7EA4"/>
    <w:rsid w:val="00DF4E3C"/>
    <w:rsid w:val="00E00B47"/>
    <w:rsid w:val="00E01A44"/>
    <w:rsid w:val="00E02624"/>
    <w:rsid w:val="00E05BFB"/>
    <w:rsid w:val="00E05D8A"/>
    <w:rsid w:val="00E11943"/>
    <w:rsid w:val="00E130D7"/>
    <w:rsid w:val="00E13367"/>
    <w:rsid w:val="00E14E13"/>
    <w:rsid w:val="00E1539F"/>
    <w:rsid w:val="00E165AD"/>
    <w:rsid w:val="00E258F9"/>
    <w:rsid w:val="00E2688F"/>
    <w:rsid w:val="00E31D37"/>
    <w:rsid w:val="00E3412C"/>
    <w:rsid w:val="00E34EC8"/>
    <w:rsid w:val="00E36577"/>
    <w:rsid w:val="00E370CD"/>
    <w:rsid w:val="00E40FFD"/>
    <w:rsid w:val="00E4192D"/>
    <w:rsid w:val="00E42E2A"/>
    <w:rsid w:val="00E42F5D"/>
    <w:rsid w:val="00E4616B"/>
    <w:rsid w:val="00E61D5F"/>
    <w:rsid w:val="00E626B0"/>
    <w:rsid w:val="00E731A9"/>
    <w:rsid w:val="00E756AF"/>
    <w:rsid w:val="00E7598D"/>
    <w:rsid w:val="00EA2280"/>
    <w:rsid w:val="00EC52A2"/>
    <w:rsid w:val="00EC5607"/>
    <w:rsid w:val="00EC5957"/>
    <w:rsid w:val="00EC6313"/>
    <w:rsid w:val="00EC64FD"/>
    <w:rsid w:val="00EC655E"/>
    <w:rsid w:val="00ED00D6"/>
    <w:rsid w:val="00ED1C57"/>
    <w:rsid w:val="00ED236F"/>
    <w:rsid w:val="00ED25B1"/>
    <w:rsid w:val="00ED6A5D"/>
    <w:rsid w:val="00EE5534"/>
    <w:rsid w:val="00EF3290"/>
    <w:rsid w:val="00EF74A4"/>
    <w:rsid w:val="00F0773C"/>
    <w:rsid w:val="00F14390"/>
    <w:rsid w:val="00F23D0F"/>
    <w:rsid w:val="00F251F2"/>
    <w:rsid w:val="00F30F45"/>
    <w:rsid w:val="00F34166"/>
    <w:rsid w:val="00F37527"/>
    <w:rsid w:val="00F41C3F"/>
    <w:rsid w:val="00F43995"/>
    <w:rsid w:val="00F43AD8"/>
    <w:rsid w:val="00F466E4"/>
    <w:rsid w:val="00F64A9A"/>
    <w:rsid w:val="00F65A3D"/>
    <w:rsid w:val="00F718CB"/>
    <w:rsid w:val="00F83650"/>
    <w:rsid w:val="00F87FDB"/>
    <w:rsid w:val="00F9146B"/>
    <w:rsid w:val="00F92414"/>
    <w:rsid w:val="00F945E3"/>
    <w:rsid w:val="00FA1B38"/>
    <w:rsid w:val="00FA2406"/>
    <w:rsid w:val="00FA58D5"/>
    <w:rsid w:val="00FC16B7"/>
    <w:rsid w:val="00FC751A"/>
    <w:rsid w:val="00FD1D55"/>
    <w:rsid w:val="00FF5B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chartTrackingRefBased/>
  <w15:docId w15:val="{51A2DA24-F40F-4503-BD6F-50B1CA15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2F42"/>
    <w:rPr>
      <w:rFonts w:ascii="Arial" w:hAnsi="Arial"/>
      <w:sz w:val="24"/>
      <w:szCs w:val="24"/>
    </w:rPr>
  </w:style>
  <w:style w:type="paragraph" w:styleId="Ttulo1">
    <w:name w:val="heading 1"/>
    <w:basedOn w:val="Normal"/>
    <w:next w:val="Normal"/>
    <w:qFormat/>
    <w:rsid w:val="00117B1D"/>
    <w:pPr>
      <w:keepNext/>
      <w:jc w:val="center"/>
      <w:outlineLvl w:val="0"/>
    </w:pPr>
    <w:rPr>
      <w:b/>
      <w:u w:val="single"/>
    </w:rPr>
  </w:style>
  <w:style w:type="paragraph" w:styleId="Ttulo2">
    <w:name w:val="heading 2"/>
    <w:basedOn w:val="Normal"/>
    <w:next w:val="Normal"/>
    <w:qFormat/>
    <w:rsid w:val="00117B1D"/>
    <w:pPr>
      <w:keepNext/>
      <w:jc w:val="center"/>
      <w:outlineLvl w:val="1"/>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0846F3"/>
    <w:pPr>
      <w:tabs>
        <w:tab w:val="center" w:pos="4252"/>
        <w:tab w:val="right" w:pos="8504"/>
      </w:tabs>
    </w:pPr>
  </w:style>
  <w:style w:type="paragraph" w:styleId="Piedepgina">
    <w:name w:val="footer"/>
    <w:basedOn w:val="Normal"/>
    <w:link w:val="PiedepginaCar"/>
    <w:uiPriority w:val="99"/>
    <w:rsid w:val="000846F3"/>
    <w:pPr>
      <w:tabs>
        <w:tab w:val="center" w:pos="4252"/>
        <w:tab w:val="right" w:pos="8504"/>
      </w:tabs>
    </w:pPr>
  </w:style>
  <w:style w:type="paragraph" w:styleId="Textoindependiente">
    <w:name w:val="Body Text"/>
    <w:basedOn w:val="Normal"/>
    <w:rsid w:val="000A16FD"/>
    <w:pPr>
      <w:jc w:val="both"/>
    </w:pPr>
    <w:rPr>
      <w:b/>
      <w:szCs w:val="20"/>
      <w:lang w:val="es-ES_tradnl" w:eastAsia="es-ES_tradnl"/>
    </w:rPr>
  </w:style>
  <w:style w:type="character" w:styleId="Nmerodepgina">
    <w:name w:val="page number"/>
    <w:basedOn w:val="Fuentedeprrafopredeter"/>
    <w:rsid w:val="002A6219"/>
  </w:style>
  <w:style w:type="paragraph" w:customStyle="1" w:styleId="cm56">
    <w:name w:val="cm56"/>
    <w:basedOn w:val="Normal"/>
    <w:rsid w:val="008A7A3D"/>
    <w:pPr>
      <w:spacing w:before="100" w:beforeAutospacing="1" w:after="100" w:afterAutospacing="1"/>
    </w:pPr>
    <w:rPr>
      <w:rFonts w:ascii="Times New Roman" w:hAnsi="Times New Roman"/>
    </w:rPr>
  </w:style>
  <w:style w:type="paragraph" w:customStyle="1" w:styleId="simple">
    <w:name w:val="simple"/>
    <w:basedOn w:val="Normal"/>
    <w:rsid w:val="008A7A3D"/>
    <w:pPr>
      <w:spacing w:before="100" w:beforeAutospacing="1" w:after="100" w:afterAutospacing="1"/>
    </w:pPr>
    <w:rPr>
      <w:rFonts w:ascii="Times New Roman" w:hAnsi="Times New Roman"/>
    </w:rPr>
  </w:style>
  <w:style w:type="paragraph" w:customStyle="1" w:styleId="cm58">
    <w:name w:val="cm58"/>
    <w:basedOn w:val="Normal"/>
    <w:rsid w:val="008A7A3D"/>
    <w:pPr>
      <w:spacing w:before="100" w:beforeAutospacing="1" w:after="100" w:afterAutospacing="1"/>
    </w:pPr>
    <w:rPr>
      <w:rFonts w:ascii="Times New Roman" w:hAnsi="Times New Roman"/>
    </w:rPr>
  </w:style>
  <w:style w:type="paragraph" w:customStyle="1" w:styleId="Default">
    <w:name w:val="Default"/>
    <w:rsid w:val="00972B75"/>
    <w:pPr>
      <w:autoSpaceDE w:val="0"/>
      <w:autoSpaceDN w:val="0"/>
      <w:adjustRightInd w:val="0"/>
    </w:pPr>
    <w:rPr>
      <w:rFonts w:ascii="Arial" w:hAnsi="Arial" w:cs="Arial"/>
      <w:color w:val="000000"/>
      <w:sz w:val="24"/>
      <w:szCs w:val="24"/>
    </w:rPr>
  </w:style>
  <w:style w:type="paragraph" w:customStyle="1" w:styleId="Pa8">
    <w:name w:val="Pa8"/>
    <w:basedOn w:val="Default"/>
    <w:next w:val="Default"/>
    <w:rsid w:val="00BE7975"/>
    <w:pPr>
      <w:spacing w:line="201" w:lineRule="atLeast"/>
    </w:pPr>
    <w:rPr>
      <w:rFonts w:cs="Times New Roman"/>
      <w:color w:val="auto"/>
    </w:rPr>
  </w:style>
  <w:style w:type="paragraph" w:customStyle="1" w:styleId="Pa12">
    <w:name w:val="Pa12"/>
    <w:basedOn w:val="Default"/>
    <w:next w:val="Default"/>
    <w:rsid w:val="00BE7975"/>
    <w:pPr>
      <w:spacing w:line="201" w:lineRule="atLeast"/>
    </w:pPr>
    <w:rPr>
      <w:rFonts w:cs="Times New Roman"/>
      <w:color w:val="auto"/>
    </w:rPr>
  </w:style>
  <w:style w:type="paragraph" w:customStyle="1" w:styleId="Pa11">
    <w:name w:val="Pa11"/>
    <w:basedOn w:val="Default"/>
    <w:next w:val="Default"/>
    <w:rsid w:val="005A1841"/>
    <w:pPr>
      <w:spacing w:line="201" w:lineRule="atLeast"/>
    </w:pPr>
    <w:rPr>
      <w:rFonts w:cs="Times New Roman"/>
      <w:color w:val="auto"/>
    </w:rPr>
  </w:style>
  <w:style w:type="character" w:styleId="Textoennegrita">
    <w:name w:val="Strong"/>
    <w:qFormat/>
    <w:rsid w:val="008B42DD"/>
    <w:rPr>
      <w:b/>
      <w:bCs/>
    </w:rPr>
  </w:style>
  <w:style w:type="character" w:styleId="Hipervnculo">
    <w:name w:val="Hyperlink"/>
    <w:unhideWhenUsed/>
    <w:rsid w:val="00F34166"/>
    <w:rPr>
      <w:color w:val="0000FF"/>
      <w:u w:val="single"/>
    </w:rPr>
  </w:style>
  <w:style w:type="character" w:customStyle="1" w:styleId="PiedepginaCar">
    <w:name w:val="Pie de página Car"/>
    <w:link w:val="Piedepgina"/>
    <w:uiPriority w:val="99"/>
    <w:rsid w:val="006144CB"/>
    <w:rPr>
      <w:rFonts w:ascii="Arial" w:hAnsi="Arial"/>
      <w:sz w:val="24"/>
      <w:szCs w:val="24"/>
    </w:rPr>
  </w:style>
  <w:style w:type="paragraph" w:styleId="Textodeglobo">
    <w:name w:val="Balloon Text"/>
    <w:basedOn w:val="Normal"/>
    <w:link w:val="TextodegloboCar"/>
    <w:rsid w:val="00E2688F"/>
    <w:rPr>
      <w:rFonts w:ascii="Segoe UI" w:hAnsi="Segoe UI" w:cs="Segoe UI"/>
      <w:sz w:val="18"/>
      <w:szCs w:val="18"/>
    </w:rPr>
  </w:style>
  <w:style w:type="character" w:customStyle="1" w:styleId="TextodegloboCar">
    <w:name w:val="Texto de globo Car"/>
    <w:basedOn w:val="Fuentedeprrafopredeter"/>
    <w:link w:val="Textodeglobo"/>
    <w:rsid w:val="00E268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494098">
      <w:bodyDiv w:val="1"/>
      <w:marLeft w:val="0"/>
      <w:marRight w:val="0"/>
      <w:marTop w:val="0"/>
      <w:marBottom w:val="0"/>
      <w:divBdr>
        <w:top w:val="none" w:sz="0" w:space="0" w:color="auto"/>
        <w:left w:val="none" w:sz="0" w:space="0" w:color="auto"/>
        <w:bottom w:val="none" w:sz="0" w:space="0" w:color="auto"/>
        <w:right w:val="none" w:sz="0" w:space="0" w:color="auto"/>
      </w:divBdr>
    </w:div>
    <w:div w:id="156846381">
      <w:bodyDiv w:val="1"/>
      <w:marLeft w:val="0"/>
      <w:marRight w:val="0"/>
      <w:marTop w:val="0"/>
      <w:marBottom w:val="0"/>
      <w:divBdr>
        <w:top w:val="none" w:sz="0" w:space="0" w:color="auto"/>
        <w:left w:val="none" w:sz="0" w:space="0" w:color="auto"/>
        <w:bottom w:val="none" w:sz="0" w:space="0" w:color="auto"/>
        <w:right w:val="none" w:sz="0" w:space="0" w:color="auto"/>
      </w:divBdr>
    </w:div>
    <w:div w:id="259994187">
      <w:bodyDiv w:val="1"/>
      <w:marLeft w:val="0"/>
      <w:marRight w:val="0"/>
      <w:marTop w:val="0"/>
      <w:marBottom w:val="0"/>
      <w:divBdr>
        <w:top w:val="none" w:sz="0" w:space="0" w:color="auto"/>
        <w:left w:val="none" w:sz="0" w:space="0" w:color="auto"/>
        <w:bottom w:val="none" w:sz="0" w:space="0" w:color="auto"/>
        <w:right w:val="none" w:sz="0" w:space="0" w:color="auto"/>
      </w:divBdr>
    </w:div>
    <w:div w:id="366878138">
      <w:bodyDiv w:val="1"/>
      <w:marLeft w:val="0"/>
      <w:marRight w:val="0"/>
      <w:marTop w:val="0"/>
      <w:marBottom w:val="0"/>
      <w:divBdr>
        <w:top w:val="none" w:sz="0" w:space="0" w:color="auto"/>
        <w:left w:val="none" w:sz="0" w:space="0" w:color="auto"/>
        <w:bottom w:val="none" w:sz="0" w:space="0" w:color="auto"/>
        <w:right w:val="none" w:sz="0" w:space="0" w:color="auto"/>
      </w:divBdr>
    </w:div>
    <w:div w:id="429740872">
      <w:bodyDiv w:val="1"/>
      <w:marLeft w:val="0"/>
      <w:marRight w:val="0"/>
      <w:marTop w:val="0"/>
      <w:marBottom w:val="0"/>
      <w:divBdr>
        <w:top w:val="none" w:sz="0" w:space="0" w:color="auto"/>
        <w:left w:val="none" w:sz="0" w:space="0" w:color="auto"/>
        <w:bottom w:val="none" w:sz="0" w:space="0" w:color="auto"/>
        <w:right w:val="none" w:sz="0" w:space="0" w:color="auto"/>
      </w:divBdr>
    </w:div>
    <w:div w:id="470174055">
      <w:bodyDiv w:val="1"/>
      <w:marLeft w:val="0"/>
      <w:marRight w:val="0"/>
      <w:marTop w:val="0"/>
      <w:marBottom w:val="0"/>
      <w:divBdr>
        <w:top w:val="none" w:sz="0" w:space="0" w:color="auto"/>
        <w:left w:val="none" w:sz="0" w:space="0" w:color="auto"/>
        <w:bottom w:val="none" w:sz="0" w:space="0" w:color="auto"/>
        <w:right w:val="none" w:sz="0" w:space="0" w:color="auto"/>
      </w:divBdr>
    </w:div>
    <w:div w:id="574318693">
      <w:bodyDiv w:val="1"/>
      <w:marLeft w:val="0"/>
      <w:marRight w:val="0"/>
      <w:marTop w:val="0"/>
      <w:marBottom w:val="0"/>
      <w:divBdr>
        <w:top w:val="none" w:sz="0" w:space="0" w:color="auto"/>
        <w:left w:val="none" w:sz="0" w:space="0" w:color="auto"/>
        <w:bottom w:val="none" w:sz="0" w:space="0" w:color="auto"/>
        <w:right w:val="none" w:sz="0" w:space="0" w:color="auto"/>
      </w:divBdr>
    </w:div>
    <w:div w:id="738405587">
      <w:bodyDiv w:val="1"/>
      <w:marLeft w:val="0"/>
      <w:marRight w:val="0"/>
      <w:marTop w:val="0"/>
      <w:marBottom w:val="0"/>
      <w:divBdr>
        <w:top w:val="none" w:sz="0" w:space="0" w:color="auto"/>
        <w:left w:val="none" w:sz="0" w:space="0" w:color="auto"/>
        <w:bottom w:val="none" w:sz="0" w:space="0" w:color="auto"/>
        <w:right w:val="none" w:sz="0" w:space="0" w:color="auto"/>
      </w:divBdr>
    </w:div>
    <w:div w:id="801313234">
      <w:bodyDiv w:val="1"/>
      <w:marLeft w:val="0"/>
      <w:marRight w:val="0"/>
      <w:marTop w:val="0"/>
      <w:marBottom w:val="0"/>
      <w:divBdr>
        <w:top w:val="none" w:sz="0" w:space="0" w:color="auto"/>
        <w:left w:val="none" w:sz="0" w:space="0" w:color="auto"/>
        <w:bottom w:val="none" w:sz="0" w:space="0" w:color="auto"/>
        <w:right w:val="none" w:sz="0" w:space="0" w:color="auto"/>
      </w:divBdr>
    </w:div>
    <w:div w:id="804814630">
      <w:bodyDiv w:val="1"/>
      <w:marLeft w:val="0"/>
      <w:marRight w:val="0"/>
      <w:marTop w:val="0"/>
      <w:marBottom w:val="0"/>
      <w:divBdr>
        <w:top w:val="none" w:sz="0" w:space="0" w:color="auto"/>
        <w:left w:val="none" w:sz="0" w:space="0" w:color="auto"/>
        <w:bottom w:val="none" w:sz="0" w:space="0" w:color="auto"/>
        <w:right w:val="none" w:sz="0" w:space="0" w:color="auto"/>
      </w:divBdr>
    </w:div>
    <w:div w:id="834684222">
      <w:bodyDiv w:val="1"/>
      <w:marLeft w:val="0"/>
      <w:marRight w:val="0"/>
      <w:marTop w:val="0"/>
      <w:marBottom w:val="0"/>
      <w:divBdr>
        <w:top w:val="none" w:sz="0" w:space="0" w:color="auto"/>
        <w:left w:val="none" w:sz="0" w:space="0" w:color="auto"/>
        <w:bottom w:val="none" w:sz="0" w:space="0" w:color="auto"/>
        <w:right w:val="none" w:sz="0" w:space="0" w:color="auto"/>
      </w:divBdr>
    </w:div>
    <w:div w:id="860513215">
      <w:bodyDiv w:val="1"/>
      <w:marLeft w:val="0"/>
      <w:marRight w:val="0"/>
      <w:marTop w:val="0"/>
      <w:marBottom w:val="0"/>
      <w:divBdr>
        <w:top w:val="none" w:sz="0" w:space="0" w:color="auto"/>
        <w:left w:val="none" w:sz="0" w:space="0" w:color="auto"/>
        <w:bottom w:val="none" w:sz="0" w:space="0" w:color="auto"/>
        <w:right w:val="none" w:sz="0" w:space="0" w:color="auto"/>
      </w:divBdr>
    </w:div>
    <w:div w:id="870842866">
      <w:bodyDiv w:val="1"/>
      <w:marLeft w:val="0"/>
      <w:marRight w:val="0"/>
      <w:marTop w:val="0"/>
      <w:marBottom w:val="0"/>
      <w:divBdr>
        <w:top w:val="none" w:sz="0" w:space="0" w:color="auto"/>
        <w:left w:val="none" w:sz="0" w:space="0" w:color="auto"/>
        <w:bottom w:val="none" w:sz="0" w:space="0" w:color="auto"/>
        <w:right w:val="none" w:sz="0" w:space="0" w:color="auto"/>
      </w:divBdr>
    </w:div>
    <w:div w:id="922880527">
      <w:bodyDiv w:val="1"/>
      <w:marLeft w:val="0"/>
      <w:marRight w:val="0"/>
      <w:marTop w:val="0"/>
      <w:marBottom w:val="0"/>
      <w:divBdr>
        <w:top w:val="none" w:sz="0" w:space="0" w:color="auto"/>
        <w:left w:val="none" w:sz="0" w:space="0" w:color="auto"/>
        <w:bottom w:val="none" w:sz="0" w:space="0" w:color="auto"/>
        <w:right w:val="none" w:sz="0" w:space="0" w:color="auto"/>
      </w:divBdr>
    </w:div>
    <w:div w:id="965769743">
      <w:bodyDiv w:val="1"/>
      <w:marLeft w:val="0"/>
      <w:marRight w:val="0"/>
      <w:marTop w:val="0"/>
      <w:marBottom w:val="0"/>
      <w:divBdr>
        <w:top w:val="none" w:sz="0" w:space="0" w:color="auto"/>
        <w:left w:val="none" w:sz="0" w:space="0" w:color="auto"/>
        <w:bottom w:val="none" w:sz="0" w:space="0" w:color="auto"/>
        <w:right w:val="none" w:sz="0" w:space="0" w:color="auto"/>
      </w:divBdr>
    </w:div>
    <w:div w:id="1129980854">
      <w:bodyDiv w:val="1"/>
      <w:marLeft w:val="0"/>
      <w:marRight w:val="0"/>
      <w:marTop w:val="0"/>
      <w:marBottom w:val="0"/>
      <w:divBdr>
        <w:top w:val="none" w:sz="0" w:space="0" w:color="auto"/>
        <w:left w:val="none" w:sz="0" w:space="0" w:color="auto"/>
        <w:bottom w:val="none" w:sz="0" w:space="0" w:color="auto"/>
        <w:right w:val="none" w:sz="0" w:space="0" w:color="auto"/>
      </w:divBdr>
    </w:div>
    <w:div w:id="1179737594">
      <w:bodyDiv w:val="1"/>
      <w:marLeft w:val="0"/>
      <w:marRight w:val="0"/>
      <w:marTop w:val="0"/>
      <w:marBottom w:val="0"/>
      <w:divBdr>
        <w:top w:val="none" w:sz="0" w:space="0" w:color="auto"/>
        <w:left w:val="none" w:sz="0" w:space="0" w:color="auto"/>
        <w:bottom w:val="none" w:sz="0" w:space="0" w:color="auto"/>
        <w:right w:val="none" w:sz="0" w:space="0" w:color="auto"/>
      </w:divBdr>
    </w:div>
    <w:div w:id="1188981366">
      <w:bodyDiv w:val="1"/>
      <w:marLeft w:val="0"/>
      <w:marRight w:val="0"/>
      <w:marTop w:val="0"/>
      <w:marBottom w:val="0"/>
      <w:divBdr>
        <w:top w:val="none" w:sz="0" w:space="0" w:color="auto"/>
        <w:left w:val="none" w:sz="0" w:space="0" w:color="auto"/>
        <w:bottom w:val="none" w:sz="0" w:space="0" w:color="auto"/>
        <w:right w:val="none" w:sz="0" w:space="0" w:color="auto"/>
      </w:divBdr>
    </w:div>
    <w:div w:id="1254389015">
      <w:bodyDiv w:val="1"/>
      <w:marLeft w:val="0"/>
      <w:marRight w:val="0"/>
      <w:marTop w:val="0"/>
      <w:marBottom w:val="0"/>
      <w:divBdr>
        <w:top w:val="none" w:sz="0" w:space="0" w:color="auto"/>
        <w:left w:val="none" w:sz="0" w:space="0" w:color="auto"/>
        <w:bottom w:val="none" w:sz="0" w:space="0" w:color="auto"/>
        <w:right w:val="none" w:sz="0" w:space="0" w:color="auto"/>
      </w:divBdr>
      <w:divsChild>
        <w:div w:id="1510212246">
          <w:marLeft w:val="0"/>
          <w:marRight w:val="0"/>
          <w:marTop w:val="0"/>
          <w:marBottom w:val="0"/>
          <w:divBdr>
            <w:top w:val="none" w:sz="0" w:space="0" w:color="auto"/>
            <w:left w:val="none" w:sz="0" w:space="0" w:color="auto"/>
            <w:bottom w:val="none" w:sz="0" w:space="0" w:color="auto"/>
            <w:right w:val="none" w:sz="0" w:space="0" w:color="auto"/>
          </w:divBdr>
          <w:divsChild>
            <w:div w:id="1263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745614">
      <w:bodyDiv w:val="1"/>
      <w:marLeft w:val="0"/>
      <w:marRight w:val="0"/>
      <w:marTop w:val="0"/>
      <w:marBottom w:val="0"/>
      <w:divBdr>
        <w:top w:val="none" w:sz="0" w:space="0" w:color="auto"/>
        <w:left w:val="none" w:sz="0" w:space="0" w:color="auto"/>
        <w:bottom w:val="none" w:sz="0" w:space="0" w:color="auto"/>
        <w:right w:val="none" w:sz="0" w:space="0" w:color="auto"/>
      </w:divBdr>
    </w:div>
    <w:div w:id="1460994395">
      <w:bodyDiv w:val="1"/>
      <w:marLeft w:val="0"/>
      <w:marRight w:val="0"/>
      <w:marTop w:val="0"/>
      <w:marBottom w:val="0"/>
      <w:divBdr>
        <w:top w:val="none" w:sz="0" w:space="0" w:color="auto"/>
        <w:left w:val="none" w:sz="0" w:space="0" w:color="auto"/>
        <w:bottom w:val="none" w:sz="0" w:space="0" w:color="auto"/>
        <w:right w:val="none" w:sz="0" w:space="0" w:color="auto"/>
      </w:divBdr>
    </w:div>
    <w:div w:id="1480269976">
      <w:bodyDiv w:val="1"/>
      <w:marLeft w:val="0"/>
      <w:marRight w:val="0"/>
      <w:marTop w:val="0"/>
      <w:marBottom w:val="0"/>
      <w:divBdr>
        <w:top w:val="none" w:sz="0" w:space="0" w:color="auto"/>
        <w:left w:val="none" w:sz="0" w:space="0" w:color="auto"/>
        <w:bottom w:val="none" w:sz="0" w:space="0" w:color="auto"/>
        <w:right w:val="none" w:sz="0" w:space="0" w:color="auto"/>
      </w:divBdr>
    </w:div>
    <w:div w:id="1496267083">
      <w:bodyDiv w:val="1"/>
      <w:marLeft w:val="0"/>
      <w:marRight w:val="0"/>
      <w:marTop w:val="0"/>
      <w:marBottom w:val="0"/>
      <w:divBdr>
        <w:top w:val="none" w:sz="0" w:space="0" w:color="auto"/>
        <w:left w:val="none" w:sz="0" w:space="0" w:color="auto"/>
        <w:bottom w:val="none" w:sz="0" w:space="0" w:color="auto"/>
        <w:right w:val="none" w:sz="0" w:space="0" w:color="auto"/>
      </w:divBdr>
    </w:div>
    <w:div w:id="1617981359">
      <w:bodyDiv w:val="1"/>
      <w:marLeft w:val="0"/>
      <w:marRight w:val="0"/>
      <w:marTop w:val="0"/>
      <w:marBottom w:val="0"/>
      <w:divBdr>
        <w:top w:val="none" w:sz="0" w:space="0" w:color="auto"/>
        <w:left w:val="none" w:sz="0" w:space="0" w:color="auto"/>
        <w:bottom w:val="none" w:sz="0" w:space="0" w:color="auto"/>
        <w:right w:val="none" w:sz="0" w:space="0" w:color="auto"/>
      </w:divBdr>
    </w:div>
    <w:div w:id="1626503726">
      <w:bodyDiv w:val="1"/>
      <w:marLeft w:val="0"/>
      <w:marRight w:val="0"/>
      <w:marTop w:val="0"/>
      <w:marBottom w:val="0"/>
      <w:divBdr>
        <w:top w:val="none" w:sz="0" w:space="0" w:color="auto"/>
        <w:left w:val="none" w:sz="0" w:space="0" w:color="auto"/>
        <w:bottom w:val="none" w:sz="0" w:space="0" w:color="auto"/>
        <w:right w:val="none" w:sz="0" w:space="0" w:color="auto"/>
      </w:divBdr>
    </w:div>
    <w:div w:id="1646354276">
      <w:bodyDiv w:val="1"/>
      <w:marLeft w:val="0"/>
      <w:marRight w:val="0"/>
      <w:marTop w:val="0"/>
      <w:marBottom w:val="0"/>
      <w:divBdr>
        <w:top w:val="none" w:sz="0" w:space="0" w:color="auto"/>
        <w:left w:val="none" w:sz="0" w:space="0" w:color="auto"/>
        <w:bottom w:val="none" w:sz="0" w:space="0" w:color="auto"/>
        <w:right w:val="none" w:sz="0" w:space="0" w:color="auto"/>
      </w:divBdr>
    </w:div>
    <w:div w:id="1666590929">
      <w:bodyDiv w:val="1"/>
      <w:marLeft w:val="0"/>
      <w:marRight w:val="0"/>
      <w:marTop w:val="0"/>
      <w:marBottom w:val="0"/>
      <w:divBdr>
        <w:top w:val="none" w:sz="0" w:space="0" w:color="auto"/>
        <w:left w:val="none" w:sz="0" w:space="0" w:color="auto"/>
        <w:bottom w:val="none" w:sz="0" w:space="0" w:color="auto"/>
        <w:right w:val="none" w:sz="0" w:space="0" w:color="auto"/>
      </w:divBdr>
    </w:div>
    <w:div w:id="1712341361">
      <w:bodyDiv w:val="1"/>
      <w:marLeft w:val="0"/>
      <w:marRight w:val="0"/>
      <w:marTop w:val="0"/>
      <w:marBottom w:val="0"/>
      <w:divBdr>
        <w:top w:val="none" w:sz="0" w:space="0" w:color="auto"/>
        <w:left w:val="none" w:sz="0" w:space="0" w:color="auto"/>
        <w:bottom w:val="none" w:sz="0" w:space="0" w:color="auto"/>
        <w:right w:val="none" w:sz="0" w:space="0" w:color="auto"/>
      </w:divBdr>
    </w:div>
    <w:div w:id="1764718015">
      <w:bodyDiv w:val="1"/>
      <w:marLeft w:val="0"/>
      <w:marRight w:val="0"/>
      <w:marTop w:val="0"/>
      <w:marBottom w:val="0"/>
      <w:divBdr>
        <w:top w:val="none" w:sz="0" w:space="0" w:color="auto"/>
        <w:left w:val="none" w:sz="0" w:space="0" w:color="auto"/>
        <w:bottom w:val="none" w:sz="0" w:space="0" w:color="auto"/>
        <w:right w:val="none" w:sz="0" w:space="0" w:color="auto"/>
      </w:divBdr>
    </w:div>
    <w:div w:id="1898934553">
      <w:bodyDiv w:val="1"/>
      <w:marLeft w:val="0"/>
      <w:marRight w:val="0"/>
      <w:marTop w:val="0"/>
      <w:marBottom w:val="0"/>
      <w:divBdr>
        <w:top w:val="none" w:sz="0" w:space="0" w:color="auto"/>
        <w:left w:val="none" w:sz="0" w:space="0" w:color="auto"/>
        <w:bottom w:val="none" w:sz="0" w:space="0" w:color="auto"/>
        <w:right w:val="none" w:sz="0" w:space="0" w:color="auto"/>
      </w:divBdr>
      <w:divsChild>
        <w:div w:id="1045762252">
          <w:marLeft w:val="0"/>
          <w:marRight w:val="0"/>
          <w:marTop w:val="0"/>
          <w:marBottom w:val="0"/>
          <w:divBdr>
            <w:top w:val="none" w:sz="0" w:space="0" w:color="auto"/>
            <w:left w:val="none" w:sz="0" w:space="0" w:color="auto"/>
            <w:bottom w:val="none" w:sz="0" w:space="0" w:color="auto"/>
            <w:right w:val="none" w:sz="0" w:space="0" w:color="auto"/>
          </w:divBdr>
          <w:divsChild>
            <w:div w:id="46065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871096">
      <w:bodyDiv w:val="1"/>
      <w:marLeft w:val="0"/>
      <w:marRight w:val="0"/>
      <w:marTop w:val="0"/>
      <w:marBottom w:val="0"/>
      <w:divBdr>
        <w:top w:val="none" w:sz="0" w:space="0" w:color="auto"/>
        <w:left w:val="none" w:sz="0" w:space="0" w:color="auto"/>
        <w:bottom w:val="none" w:sz="0" w:space="0" w:color="auto"/>
        <w:right w:val="none" w:sz="0" w:space="0" w:color="auto"/>
      </w:divBdr>
    </w:div>
    <w:div w:id="1941258358">
      <w:bodyDiv w:val="1"/>
      <w:marLeft w:val="0"/>
      <w:marRight w:val="0"/>
      <w:marTop w:val="0"/>
      <w:marBottom w:val="0"/>
      <w:divBdr>
        <w:top w:val="none" w:sz="0" w:space="0" w:color="auto"/>
        <w:left w:val="none" w:sz="0" w:space="0" w:color="auto"/>
        <w:bottom w:val="none" w:sz="0" w:space="0" w:color="auto"/>
        <w:right w:val="none" w:sz="0" w:space="0" w:color="auto"/>
      </w:divBdr>
      <w:divsChild>
        <w:div w:id="1552156595">
          <w:marLeft w:val="0"/>
          <w:marRight w:val="0"/>
          <w:marTop w:val="0"/>
          <w:marBottom w:val="0"/>
          <w:divBdr>
            <w:top w:val="none" w:sz="0" w:space="0" w:color="auto"/>
            <w:left w:val="none" w:sz="0" w:space="0" w:color="auto"/>
            <w:bottom w:val="none" w:sz="0" w:space="0" w:color="auto"/>
            <w:right w:val="none" w:sz="0" w:space="0" w:color="auto"/>
          </w:divBdr>
          <w:divsChild>
            <w:div w:id="8178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71262">
      <w:bodyDiv w:val="1"/>
      <w:marLeft w:val="0"/>
      <w:marRight w:val="0"/>
      <w:marTop w:val="0"/>
      <w:marBottom w:val="0"/>
      <w:divBdr>
        <w:top w:val="none" w:sz="0" w:space="0" w:color="auto"/>
        <w:left w:val="none" w:sz="0" w:space="0" w:color="auto"/>
        <w:bottom w:val="none" w:sz="0" w:space="0" w:color="auto"/>
        <w:right w:val="none" w:sz="0" w:space="0" w:color="auto"/>
      </w:divBdr>
      <w:divsChild>
        <w:div w:id="432669656">
          <w:marLeft w:val="0"/>
          <w:marRight w:val="0"/>
          <w:marTop w:val="0"/>
          <w:marBottom w:val="0"/>
          <w:divBdr>
            <w:top w:val="none" w:sz="0" w:space="0" w:color="auto"/>
            <w:left w:val="none" w:sz="0" w:space="0" w:color="auto"/>
            <w:bottom w:val="none" w:sz="0" w:space="0" w:color="auto"/>
            <w:right w:val="none" w:sz="0" w:space="0" w:color="auto"/>
          </w:divBdr>
          <w:divsChild>
            <w:div w:id="115410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085385">
      <w:bodyDiv w:val="1"/>
      <w:marLeft w:val="0"/>
      <w:marRight w:val="0"/>
      <w:marTop w:val="0"/>
      <w:marBottom w:val="0"/>
      <w:divBdr>
        <w:top w:val="none" w:sz="0" w:space="0" w:color="auto"/>
        <w:left w:val="none" w:sz="0" w:space="0" w:color="auto"/>
        <w:bottom w:val="none" w:sz="0" w:space="0" w:color="auto"/>
        <w:right w:val="none" w:sz="0" w:space="0" w:color="auto"/>
      </w:divBdr>
    </w:div>
    <w:div w:id="2093698702">
      <w:bodyDiv w:val="1"/>
      <w:marLeft w:val="0"/>
      <w:marRight w:val="0"/>
      <w:marTop w:val="0"/>
      <w:marBottom w:val="0"/>
      <w:divBdr>
        <w:top w:val="none" w:sz="0" w:space="0" w:color="auto"/>
        <w:left w:val="none" w:sz="0" w:space="0" w:color="auto"/>
        <w:bottom w:val="none" w:sz="0" w:space="0" w:color="auto"/>
        <w:right w:val="none" w:sz="0" w:space="0" w:color="auto"/>
      </w:divBdr>
    </w:div>
    <w:div w:id="210792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ite.artolazabal\Documents\Plantillas%20personalizadas%20de%20Office\TALDE%20PARER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TALDE PARERA</Template>
  <TotalTime>79</TotalTime>
  <Pages>12</Pages>
  <Words>3897</Words>
  <Characters>22070</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A LA MESA DEL CONGRESO DE LOS DIPUTADOS</vt:lpstr>
    </vt:vector>
  </TitlesOfParts>
  <Company/>
  <LinksUpToDate>false</LinksUpToDate>
  <CharactersWithSpaces>25916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LA MESA DEL CONGRESO DE LOS DIPUTADOS</dc:title>
  <dc:subject/>
  <dc:creator>Maite Gotzone Artolazabal Iriondo</dc:creator>
  <cp:keywords/>
  <dc:description/>
  <cp:lastModifiedBy>Pilar Cazorla Iglesias</cp:lastModifiedBy>
  <cp:revision>3</cp:revision>
  <cp:lastPrinted>2019-12-13T10:00:00Z</cp:lastPrinted>
  <dcterms:created xsi:type="dcterms:W3CDTF">2019-12-13T09:52:00Z</dcterms:created>
  <dcterms:modified xsi:type="dcterms:W3CDTF">2019-12-13T11:14:00Z</dcterms:modified>
</cp:coreProperties>
</file>