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C15" w:rsidRDefault="00373C15" w:rsidP="00373C15">
      <w:pPr>
        <w:spacing w:after="240"/>
        <w:jc w:val="both"/>
        <w:rPr>
          <w:rFonts w:asciiTheme="minorHAnsi" w:hAnsiTheme="minorHAnsi"/>
          <w:b/>
          <w:u w:val="single"/>
        </w:rPr>
      </w:pPr>
      <w:r>
        <w:rPr>
          <w:rFonts w:asciiTheme="minorHAnsi" w:hAnsiTheme="minorHAnsi"/>
          <w:b/>
          <w:u w:val="single"/>
        </w:rPr>
        <w:t>A    LA MESA DE LA  COMISIÓN PARA LA RECONSTRUCCIÓN SOCIAL Y ECONÓMICA</w:t>
      </w:r>
    </w:p>
    <w:p w:rsidR="00373C15" w:rsidRDefault="00373C15" w:rsidP="00373C15">
      <w:pPr>
        <w:spacing w:after="240"/>
        <w:jc w:val="both"/>
        <w:rPr>
          <w:rFonts w:asciiTheme="minorHAnsi" w:hAnsiTheme="minorHAnsi"/>
        </w:rPr>
      </w:pPr>
      <w:r>
        <w:rPr>
          <w:rFonts w:asciiTheme="minorHAnsi" w:hAnsiTheme="minorHAnsi"/>
          <w:b/>
        </w:rPr>
        <w:t>El Grupo Parlamentario Vasco (EAJ-PNV)</w:t>
      </w:r>
      <w:r>
        <w:rPr>
          <w:rFonts w:asciiTheme="minorHAnsi" w:hAnsiTheme="minorHAnsi"/>
        </w:rPr>
        <w:t>, al amparo del Reglamento de la Cámara, presenta las siguientes enmiendas al Borrador de conclusiones del Grupo de Trabajo de la Unión Europea, creado en el seno de la Comisión para la Reconstrucción Social y Económica.</w:t>
      </w:r>
    </w:p>
    <w:p w:rsidR="00373C15" w:rsidRDefault="00373C15" w:rsidP="00373C15">
      <w:pPr>
        <w:spacing w:after="240"/>
        <w:jc w:val="both"/>
        <w:rPr>
          <w:rFonts w:asciiTheme="minorHAnsi" w:hAnsiTheme="minorHAnsi"/>
        </w:rPr>
      </w:pPr>
    </w:p>
    <w:p w:rsidR="00373C15" w:rsidRDefault="00373C15" w:rsidP="00373C15">
      <w:pPr>
        <w:spacing w:after="240"/>
        <w:jc w:val="center"/>
        <w:rPr>
          <w:rFonts w:asciiTheme="minorHAnsi" w:hAnsiTheme="minorHAnsi"/>
        </w:rPr>
      </w:pPr>
      <w:r>
        <w:rPr>
          <w:rFonts w:asciiTheme="minorHAnsi" w:hAnsiTheme="minorHAnsi"/>
        </w:rPr>
        <w:t>Congreso de los Diputados, 20 de junio de 2020.</w:t>
      </w:r>
    </w:p>
    <w:p w:rsidR="00373C15" w:rsidRDefault="00373C15" w:rsidP="00373C15">
      <w:pPr>
        <w:spacing w:after="240"/>
        <w:jc w:val="center"/>
        <w:rPr>
          <w:rFonts w:asciiTheme="minorHAnsi" w:hAnsiTheme="minorHAnsi"/>
        </w:rPr>
      </w:pPr>
      <w:r>
        <w:rPr>
          <w:rFonts w:asciiTheme="minorHAnsi" w:hAnsiTheme="minorHAnsi"/>
        </w:rPr>
        <w:t>EL PORTAVOZ</w:t>
      </w:r>
    </w:p>
    <w:p w:rsidR="00373C15" w:rsidRDefault="00373C15" w:rsidP="00373C15">
      <w:pPr>
        <w:spacing w:after="240"/>
        <w:jc w:val="center"/>
        <w:rPr>
          <w:rFonts w:asciiTheme="minorHAnsi" w:hAnsiTheme="minorHAnsi"/>
        </w:rPr>
      </w:pPr>
    </w:p>
    <w:p w:rsidR="00373C15" w:rsidRDefault="00373C15" w:rsidP="00373C15">
      <w:pPr>
        <w:spacing w:after="240"/>
        <w:jc w:val="center"/>
        <w:rPr>
          <w:rFonts w:asciiTheme="minorHAnsi" w:hAnsiTheme="minorHAnsi"/>
        </w:rPr>
      </w:pPr>
    </w:p>
    <w:p w:rsidR="00373C15" w:rsidRDefault="00373C15" w:rsidP="00373C15">
      <w:pPr>
        <w:spacing w:after="240"/>
        <w:jc w:val="center"/>
        <w:rPr>
          <w:rFonts w:asciiTheme="minorHAnsi" w:hAnsiTheme="minorHAnsi"/>
        </w:rPr>
      </w:pPr>
    </w:p>
    <w:p w:rsidR="00373C15" w:rsidRDefault="00373C15" w:rsidP="00373C15">
      <w:pPr>
        <w:spacing w:after="240"/>
        <w:jc w:val="center"/>
        <w:rPr>
          <w:rFonts w:asciiTheme="minorHAnsi" w:hAnsiTheme="minorHAnsi"/>
        </w:rPr>
      </w:pPr>
      <w:r>
        <w:rPr>
          <w:rFonts w:asciiTheme="minorHAnsi" w:hAnsiTheme="minorHAnsi"/>
        </w:rPr>
        <w:t>AITOR ESTEBAN BRAVO</w:t>
      </w:r>
    </w:p>
    <w:p w:rsidR="00373C15" w:rsidRDefault="00373C15" w:rsidP="00373C15">
      <w:pPr>
        <w:spacing w:after="240"/>
        <w:jc w:val="both"/>
        <w:rPr>
          <w:rFonts w:asciiTheme="minorHAnsi" w:hAnsiTheme="minorHAnsi"/>
        </w:rPr>
      </w:pPr>
    </w:p>
    <w:p w:rsidR="00373C15" w:rsidRPr="00373C15" w:rsidRDefault="00373C15" w:rsidP="00373C15">
      <w:pPr>
        <w:spacing w:after="240"/>
        <w:jc w:val="both"/>
        <w:rPr>
          <w:rFonts w:asciiTheme="minorHAnsi" w:hAnsiTheme="minorHAnsi"/>
        </w:rPr>
      </w:pPr>
    </w:p>
    <w:p w:rsidR="00373C15" w:rsidRPr="00373C15" w:rsidRDefault="00373C15" w:rsidP="00373C15">
      <w:pPr>
        <w:spacing w:after="240"/>
        <w:jc w:val="both"/>
        <w:rPr>
          <w:rFonts w:ascii="Calibri" w:hAnsi="Calibri"/>
          <w:b/>
          <w:caps/>
          <w:u w:val="single"/>
        </w:rPr>
      </w:pPr>
      <w:r w:rsidRPr="00373C15">
        <w:rPr>
          <w:rFonts w:asciiTheme="minorHAnsi" w:hAnsiTheme="minorHAnsi"/>
        </w:rPr>
        <w:br w:type="page"/>
      </w:r>
      <w:r w:rsidRPr="00373C15">
        <w:rPr>
          <w:rFonts w:ascii="Calibri" w:hAnsi="Calibri"/>
          <w:b/>
          <w:caps/>
          <w:u w:val="single"/>
        </w:rPr>
        <w:lastRenderedPageBreak/>
        <w:t>enmienda</w:t>
      </w:r>
      <w:r>
        <w:rPr>
          <w:rFonts w:ascii="Calibri" w:hAnsi="Calibri"/>
          <w:b/>
          <w:caps/>
          <w:u w:val="single"/>
        </w:rPr>
        <w:t xml:space="preserve"> de modificación al apartado 3 del bloque 1 del </w:t>
      </w:r>
      <w:r w:rsidRPr="00373C15">
        <w:rPr>
          <w:rFonts w:ascii="Calibri" w:hAnsi="Calibri"/>
          <w:b/>
          <w:caps/>
          <w:u w:val="single"/>
        </w:rPr>
        <w:t xml:space="preserve"> Borrador de conclusiones del Grupo de Trabajo de la Unión Europea, creado en el seno de la Comisión para la Reconstrucción Social y Económica.</w:t>
      </w:r>
    </w:p>
    <w:p w:rsidR="00373C15" w:rsidRDefault="00373C15" w:rsidP="00373C15">
      <w:pPr>
        <w:spacing w:after="240"/>
        <w:jc w:val="both"/>
        <w:rPr>
          <w:rFonts w:asciiTheme="minorHAnsi" w:eastAsia="Times New Roman" w:hAnsiTheme="minorHAnsi"/>
          <w:b/>
          <w:bCs/>
        </w:rPr>
      </w:pPr>
      <w:r>
        <w:rPr>
          <w:rFonts w:asciiTheme="minorHAnsi" w:hAnsiTheme="minorHAnsi"/>
        </w:rPr>
        <w:t>Debe decir:</w:t>
      </w:r>
    </w:p>
    <w:p w:rsidR="00373C15" w:rsidRDefault="00373C15" w:rsidP="00373C15">
      <w:pPr>
        <w:jc w:val="both"/>
        <w:rPr>
          <w:rFonts w:asciiTheme="minorHAnsi" w:eastAsia="Times New Roman" w:hAnsiTheme="minorHAnsi" w:cs="Arial"/>
        </w:rPr>
      </w:pPr>
      <w:r w:rsidRPr="00373C15">
        <w:rPr>
          <w:rFonts w:asciiTheme="minorHAnsi" w:eastAsia="Times New Roman" w:hAnsiTheme="minorHAnsi"/>
        </w:rPr>
        <w:t>﻿“3. </w:t>
      </w:r>
      <w:r w:rsidRPr="00373C15">
        <w:rPr>
          <w:rFonts w:asciiTheme="minorHAnsi" w:eastAsia="Times New Roman" w:hAnsiTheme="minorHAnsi" w:cs="Arial"/>
        </w:rPr>
        <w:t>Negociar la aprobación del fondo de recuperación europeo con una capacidad de movilización de recursos suficientes y a la altura del reto de la covid-19, basado en </w:t>
      </w:r>
      <w:r w:rsidRPr="00735D01">
        <w:rPr>
          <w:rFonts w:asciiTheme="minorHAnsi" w:eastAsia="Times New Roman" w:hAnsiTheme="minorHAnsi" w:cs="Arial"/>
          <w:b/>
        </w:rPr>
        <w:t>préstamos y</w:t>
      </w:r>
      <w:r w:rsidRPr="00373C15">
        <w:rPr>
          <w:rFonts w:asciiTheme="minorHAnsi" w:eastAsia="Times New Roman" w:hAnsiTheme="minorHAnsi" w:cs="Arial"/>
          <w:color w:val="E22400"/>
        </w:rPr>
        <w:t xml:space="preserve"> </w:t>
      </w:r>
      <w:r w:rsidRPr="00373C15">
        <w:rPr>
          <w:rFonts w:asciiTheme="minorHAnsi" w:eastAsia="Times New Roman" w:hAnsiTheme="minorHAnsi" w:cs="Arial"/>
        </w:rPr>
        <w:t>transferencias, y destinado a la reactivación rápida de los países y sectores más golpeados por la pandemia. El Fondo de Recuperación financiará Planes de Inversiones y Reformas en los diferentes Estados Miembros. El gobierno español ha aprobado y sigue aprobando importantes reformas transformadoras, que mejoran el crecimiento potencial, la cohesión y la resiliencia de nuestra economía. Estas transformaciones serán puestas en valor en el Plan de Inversiones y Reformas que se envíe a Bruselas</w:t>
      </w:r>
      <w:r>
        <w:rPr>
          <w:rFonts w:asciiTheme="minorHAnsi" w:eastAsia="Times New Roman" w:hAnsiTheme="minorHAnsi" w:cs="Arial"/>
        </w:rPr>
        <w:t>”.</w:t>
      </w:r>
    </w:p>
    <w:p w:rsidR="00373C15" w:rsidRDefault="00373C15" w:rsidP="00373C15">
      <w:pPr>
        <w:jc w:val="both"/>
        <w:rPr>
          <w:rFonts w:asciiTheme="minorHAnsi" w:eastAsia="Times New Roman" w:hAnsiTheme="minorHAnsi" w:cs="Arial"/>
        </w:rPr>
      </w:pPr>
    </w:p>
    <w:p w:rsidR="001D2224" w:rsidRDefault="001D2224">
      <w:pPr>
        <w:rPr>
          <w:rFonts w:asciiTheme="minorHAnsi" w:eastAsia="Times New Roman" w:hAnsiTheme="minorHAnsi" w:cs="Arial"/>
        </w:rPr>
      </w:pPr>
      <w:r>
        <w:rPr>
          <w:rFonts w:asciiTheme="minorHAnsi" w:eastAsia="Times New Roman" w:hAnsiTheme="minorHAnsi" w:cs="Arial"/>
        </w:rPr>
        <w:br w:type="page"/>
      </w:r>
    </w:p>
    <w:p w:rsidR="001D2224" w:rsidRPr="00373C15" w:rsidRDefault="001D2224" w:rsidP="001D2224">
      <w:pPr>
        <w:spacing w:after="240"/>
        <w:jc w:val="both"/>
        <w:rPr>
          <w:rFonts w:ascii="Calibri" w:hAnsi="Calibri"/>
          <w:b/>
          <w:caps/>
          <w:u w:val="single"/>
        </w:rPr>
      </w:pPr>
      <w:r w:rsidRPr="00373C15">
        <w:rPr>
          <w:rFonts w:ascii="Calibri" w:hAnsi="Calibri"/>
          <w:b/>
          <w:caps/>
          <w:u w:val="single"/>
        </w:rPr>
        <w:t>enmienda</w:t>
      </w:r>
      <w:r>
        <w:rPr>
          <w:rFonts w:ascii="Calibri" w:hAnsi="Calibri"/>
          <w:b/>
          <w:caps/>
          <w:u w:val="single"/>
        </w:rPr>
        <w:t xml:space="preserve"> de </w:t>
      </w:r>
      <w:r w:rsidR="00B064BB">
        <w:rPr>
          <w:rFonts w:ascii="Calibri" w:hAnsi="Calibri"/>
          <w:b/>
          <w:caps/>
          <w:u w:val="single"/>
        </w:rPr>
        <w:t>ADICIÓN DE UN NUEVO</w:t>
      </w:r>
      <w:r>
        <w:rPr>
          <w:rFonts w:ascii="Calibri" w:hAnsi="Calibri"/>
          <w:b/>
          <w:caps/>
          <w:u w:val="single"/>
        </w:rPr>
        <w:t xml:space="preserve"> apartado 3</w:t>
      </w:r>
      <w:r w:rsidR="00B064BB">
        <w:rPr>
          <w:rFonts w:ascii="Calibri" w:hAnsi="Calibri"/>
          <w:b/>
          <w:caps/>
          <w:u w:val="single"/>
        </w:rPr>
        <w:t xml:space="preserve"> bis</w:t>
      </w:r>
      <w:r>
        <w:rPr>
          <w:rFonts w:ascii="Calibri" w:hAnsi="Calibri"/>
          <w:b/>
          <w:caps/>
          <w:u w:val="single"/>
        </w:rPr>
        <w:t xml:space="preserve"> </w:t>
      </w:r>
      <w:r w:rsidR="00B064BB">
        <w:rPr>
          <w:rFonts w:ascii="Calibri" w:hAnsi="Calibri"/>
          <w:b/>
          <w:caps/>
          <w:u w:val="single"/>
        </w:rPr>
        <w:t>A</w:t>
      </w:r>
      <w:r>
        <w:rPr>
          <w:rFonts w:ascii="Calibri" w:hAnsi="Calibri"/>
          <w:b/>
          <w:caps/>
          <w:u w:val="single"/>
        </w:rPr>
        <w:t xml:space="preserve">l bloque 1 del </w:t>
      </w:r>
      <w:r w:rsidRPr="00373C15">
        <w:rPr>
          <w:rFonts w:ascii="Calibri" w:hAnsi="Calibri"/>
          <w:b/>
          <w:caps/>
          <w:u w:val="single"/>
        </w:rPr>
        <w:t xml:space="preserve"> Borrador de conclusiones del Grupo de Trabajo de la Unión Europea, creado en el seno de la Comisión para la Reconstrucción Social y Económica.</w:t>
      </w:r>
    </w:p>
    <w:p w:rsidR="00373C15" w:rsidRDefault="00373C15" w:rsidP="00373C15">
      <w:pPr>
        <w:jc w:val="both"/>
        <w:rPr>
          <w:rFonts w:asciiTheme="minorHAnsi" w:eastAsia="Times New Roman" w:hAnsiTheme="minorHAnsi" w:cs="Arial"/>
        </w:rPr>
      </w:pPr>
    </w:p>
    <w:p w:rsidR="00B064BB" w:rsidRPr="00B064BB" w:rsidRDefault="00B064BB" w:rsidP="001D2224">
      <w:pPr>
        <w:jc w:val="both"/>
        <w:rPr>
          <w:rFonts w:asciiTheme="minorHAnsi" w:eastAsia="Times New Roman" w:hAnsiTheme="minorHAnsi" w:cs="Arial"/>
        </w:rPr>
      </w:pPr>
      <w:r>
        <w:rPr>
          <w:rFonts w:asciiTheme="minorHAnsi" w:eastAsia="Times New Roman" w:hAnsiTheme="minorHAnsi" w:cs="Arial"/>
        </w:rPr>
        <w:t>Debe decir:</w:t>
      </w:r>
    </w:p>
    <w:p w:rsidR="00B064BB" w:rsidRDefault="00B064BB" w:rsidP="001D2224">
      <w:pPr>
        <w:jc w:val="both"/>
        <w:rPr>
          <w:rFonts w:asciiTheme="minorHAnsi" w:eastAsia="Times New Roman" w:hAnsiTheme="minorHAnsi" w:cs="Arial"/>
          <w:color w:val="E22400"/>
        </w:rPr>
      </w:pPr>
    </w:p>
    <w:p w:rsidR="001D2224" w:rsidRPr="00735D01" w:rsidRDefault="00B064BB" w:rsidP="001D2224">
      <w:pPr>
        <w:jc w:val="both"/>
        <w:rPr>
          <w:rFonts w:asciiTheme="minorHAnsi" w:eastAsia="Times New Roman" w:hAnsiTheme="minorHAnsi"/>
          <w:b/>
        </w:rPr>
      </w:pPr>
      <w:r w:rsidRPr="00373C15">
        <w:rPr>
          <w:rFonts w:asciiTheme="minorHAnsi" w:eastAsia="Times New Roman" w:hAnsiTheme="minorHAnsi" w:cs="Arial"/>
          <w:color w:val="E22400"/>
        </w:rPr>
        <w:t xml:space="preserve"> </w:t>
      </w:r>
      <w:proofErr w:type="gramStart"/>
      <w:r w:rsidR="001D2224" w:rsidRPr="00735D01">
        <w:rPr>
          <w:rFonts w:asciiTheme="minorHAnsi" w:eastAsia="Times New Roman" w:hAnsiTheme="minorHAnsi" w:cs="Arial"/>
          <w:b/>
        </w:rPr>
        <w:t>“ 3</w:t>
      </w:r>
      <w:proofErr w:type="gramEnd"/>
      <w:r w:rsidR="001D2224" w:rsidRPr="00735D01">
        <w:rPr>
          <w:rFonts w:asciiTheme="minorHAnsi" w:eastAsia="Times New Roman" w:hAnsiTheme="minorHAnsi" w:cs="Arial"/>
          <w:b/>
        </w:rPr>
        <w:t xml:space="preserve"> bis. Se garantizará la participación de las Comunidades Autónomas en el diseño de las políticas de reformas, proyectos e inversiones a presentar ante el Fondo de Recuperación de la Unión; así como en la posterior ejecución de esas reformas, proyectos e inversiones</w:t>
      </w:r>
      <w:r w:rsidR="001D2224" w:rsidRPr="00735D01">
        <w:rPr>
          <w:rFonts w:asciiTheme="minorHAnsi" w:eastAsia="Times New Roman" w:hAnsiTheme="minorHAnsi" w:cs="Arial"/>
          <w:b/>
          <w:bCs/>
        </w:rPr>
        <w:t>.”</w:t>
      </w:r>
    </w:p>
    <w:p w:rsidR="00B064BB" w:rsidRPr="00373C15" w:rsidRDefault="00373C15" w:rsidP="00B064BB">
      <w:pPr>
        <w:spacing w:after="240"/>
        <w:jc w:val="both"/>
        <w:rPr>
          <w:rFonts w:ascii="Calibri" w:hAnsi="Calibri"/>
          <w:b/>
          <w:caps/>
          <w:u w:val="single"/>
        </w:rPr>
      </w:pPr>
      <w:r>
        <w:rPr>
          <w:rFonts w:asciiTheme="minorHAnsi" w:eastAsia="Times New Roman" w:hAnsiTheme="minorHAnsi" w:cs="Arial"/>
        </w:rPr>
        <w:br w:type="page"/>
      </w:r>
      <w:r w:rsidR="00B064BB" w:rsidRPr="00373C15">
        <w:rPr>
          <w:rFonts w:ascii="Calibri" w:hAnsi="Calibri"/>
          <w:b/>
          <w:caps/>
          <w:u w:val="single"/>
        </w:rPr>
        <w:lastRenderedPageBreak/>
        <w:t>enmienda</w:t>
      </w:r>
      <w:r w:rsidR="00B064BB">
        <w:rPr>
          <w:rFonts w:ascii="Calibri" w:hAnsi="Calibri"/>
          <w:b/>
          <w:caps/>
          <w:u w:val="single"/>
        </w:rPr>
        <w:t xml:space="preserve"> de ADICIÓN DE UN NUEVO apartado </w:t>
      </w:r>
      <w:r w:rsidR="005B11AD">
        <w:rPr>
          <w:rFonts w:ascii="Calibri" w:hAnsi="Calibri"/>
          <w:b/>
          <w:caps/>
          <w:u w:val="single"/>
        </w:rPr>
        <w:t>1</w:t>
      </w:r>
      <w:r w:rsidR="00B064BB">
        <w:rPr>
          <w:rFonts w:ascii="Calibri" w:hAnsi="Calibri"/>
          <w:b/>
          <w:caps/>
          <w:u w:val="single"/>
        </w:rPr>
        <w:t xml:space="preserve"> </w:t>
      </w:r>
      <w:r w:rsidR="005B11AD">
        <w:rPr>
          <w:rFonts w:ascii="Calibri" w:hAnsi="Calibri"/>
          <w:b/>
          <w:caps/>
          <w:u w:val="single"/>
        </w:rPr>
        <w:t>bis</w:t>
      </w:r>
      <w:r w:rsidR="00B064BB">
        <w:rPr>
          <w:rFonts w:ascii="Calibri" w:hAnsi="Calibri"/>
          <w:b/>
          <w:caps/>
          <w:u w:val="single"/>
        </w:rPr>
        <w:t xml:space="preserve"> </w:t>
      </w:r>
      <w:r w:rsidR="00B064BB">
        <w:rPr>
          <w:rFonts w:ascii="Calibri" w:hAnsi="Calibri"/>
          <w:b/>
          <w:caps/>
          <w:u w:val="single"/>
        </w:rPr>
        <w:t xml:space="preserve">Al bloque 1 del </w:t>
      </w:r>
      <w:r w:rsidR="00B064BB" w:rsidRPr="00373C15">
        <w:rPr>
          <w:rFonts w:ascii="Calibri" w:hAnsi="Calibri"/>
          <w:b/>
          <w:caps/>
          <w:u w:val="single"/>
        </w:rPr>
        <w:t xml:space="preserve"> Borrador de conclusiones del Grupo de Trabajo de la Unión Europea, creado en el seno de la Comisión para la Reconstrucción Social y Económica.</w:t>
      </w:r>
    </w:p>
    <w:p w:rsidR="00373C15" w:rsidRDefault="00B064BB" w:rsidP="00373C15">
      <w:pPr>
        <w:jc w:val="both"/>
        <w:rPr>
          <w:rFonts w:asciiTheme="minorHAnsi" w:eastAsia="Times New Roman" w:hAnsiTheme="minorHAnsi"/>
        </w:rPr>
      </w:pPr>
      <w:r>
        <w:rPr>
          <w:rFonts w:asciiTheme="minorHAnsi" w:eastAsia="Times New Roman" w:hAnsiTheme="minorHAnsi"/>
        </w:rPr>
        <w:t>Debe decir:</w:t>
      </w:r>
    </w:p>
    <w:p w:rsidR="00373C15" w:rsidRPr="00373C15" w:rsidRDefault="00373C15" w:rsidP="00373C15">
      <w:pPr>
        <w:jc w:val="both"/>
        <w:rPr>
          <w:rFonts w:asciiTheme="minorHAnsi" w:eastAsia="Times New Roman" w:hAnsiTheme="minorHAnsi"/>
        </w:rPr>
      </w:pPr>
    </w:p>
    <w:p w:rsidR="00373C15" w:rsidRPr="00735D01" w:rsidRDefault="00373C15" w:rsidP="00373C15">
      <w:pPr>
        <w:jc w:val="both"/>
        <w:rPr>
          <w:rFonts w:asciiTheme="minorHAnsi" w:eastAsia="Times New Roman" w:hAnsiTheme="minorHAnsi" w:cs="Arial"/>
          <w:b/>
        </w:rPr>
      </w:pPr>
      <w:proofErr w:type="gramStart"/>
      <w:r w:rsidRPr="00735D01">
        <w:rPr>
          <w:rFonts w:asciiTheme="minorHAnsi" w:eastAsia="Times New Roman" w:hAnsiTheme="minorHAnsi" w:cs="Arial"/>
          <w:b/>
        </w:rPr>
        <w:t xml:space="preserve">“ </w:t>
      </w:r>
      <w:r w:rsidR="005B11AD">
        <w:rPr>
          <w:rFonts w:asciiTheme="minorHAnsi" w:eastAsia="Times New Roman" w:hAnsiTheme="minorHAnsi" w:cs="Arial"/>
          <w:b/>
        </w:rPr>
        <w:t>1</w:t>
      </w:r>
      <w:proofErr w:type="gramEnd"/>
      <w:r w:rsidRPr="00735D01">
        <w:rPr>
          <w:rFonts w:asciiTheme="minorHAnsi" w:eastAsia="Times New Roman" w:hAnsiTheme="minorHAnsi" w:cs="Arial"/>
          <w:b/>
        </w:rPr>
        <w:t xml:space="preserve"> </w:t>
      </w:r>
      <w:r w:rsidR="005B11AD">
        <w:rPr>
          <w:rFonts w:asciiTheme="minorHAnsi" w:eastAsia="Times New Roman" w:hAnsiTheme="minorHAnsi" w:cs="Arial"/>
          <w:b/>
        </w:rPr>
        <w:t>bis</w:t>
      </w:r>
      <w:r w:rsidRPr="00735D01">
        <w:rPr>
          <w:rFonts w:asciiTheme="minorHAnsi" w:eastAsia="Times New Roman" w:hAnsiTheme="minorHAnsi" w:cs="Arial"/>
          <w:b/>
        </w:rPr>
        <w:t>. Se impulsará con vigor la visión regional y el principio de subsidiariedad en la definición de las políticas y fondos de la UE.”</w:t>
      </w:r>
    </w:p>
    <w:p w:rsidR="00B064BB" w:rsidRDefault="00B064BB" w:rsidP="00373C15">
      <w:pPr>
        <w:jc w:val="both"/>
        <w:rPr>
          <w:rFonts w:asciiTheme="minorHAnsi" w:eastAsia="Times New Roman" w:hAnsiTheme="minorHAnsi" w:cs="Arial"/>
          <w:color w:val="E22400"/>
        </w:rPr>
      </w:pPr>
    </w:p>
    <w:p w:rsidR="00B064BB" w:rsidRDefault="00B064BB">
      <w:pPr>
        <w:rPr>
          <w:rFonts w:asciiTheme="minorHAnsi" w:eastAsia="Times New Roman" w:hAnsiTheme="minorHAnsi" w:cs="Arial"/>
          <w:color w:val="E22400"/>
        </w:rPr>
      </w:pPr>
      <w:r>
        <w:rPr>
          <w:rFonts w:asciiTheme="minorHAnsi" w:eastAsia="Times New Roman" w:hAnsiTheme="minorHAnsi" w:cs="Arial"/>
          <w:color w:val="E22400"/>
        </w:rPr>
        <w:br w:type="page"/>
      </w:r>
    </w:p>
    <w:p w:rsidR="00B064BB" w:rsidRPr="00373C15" w:rsidRDefault="00B064BB" w:rsidP="00B064BB">
      <w:pPr>
        <w:spacing w:after="240"/>
        <w:jc w:val="both"/>
        <w:rPr>
          <w:rFonts w:ascii="Calibri" w:hAnsi="Calibri"/>
          <w:b/>
          <w:caps/>
          <w:u w:val="single"/>
        </w:rPr>
      </w:pPr>
      <w:r w:rsidRPr="00373C15">
        <w:rPr>
          <w:rFonts w:ascii="Calibri" w:hAnsi="Calibri"/>
          <w:b/>
          <w:caps/>
          <w:u w:val="single"/>
        </w:rPr>
        <w:t>enmienda</w:t>
      </w:r>
      <w:r>
        <w:rPr>
          <w:rFonts w:ascii="Calibri" w:hAnsi="Calibri"/>
          <w:b/>
          <w:caps/>
          <w:u w:val="single"/>
        </w:rPr>
        <w:t xml:space="preserve"> de ADICIÓN DE UN NUEVO apartado </w:t>
      </w:r>
      <w:r w:rsidR="005B11AD">
        <w:rPr>
          <w:rFonts w:ascii="Calibri" w:hAnsi="Calibri"/>
          <w:b/>
          <w:caps/>
          <w:u w:val="single"/>
        </w:rPr>
        <w:t>1</w:t>
      </w:r>
      <w:r>
        <w:rPr>
          <w:rFonts w:ascii="Calibri" w:hAnsi="Calibri"/>
          <w:b/>
          <w:caps/>
          <w:u w:val="single"/>
        </w:rPr>
        <w:t xml:space="preserve"> </w:t>
      </w:r>
      <w:r>
        <w:rPr>
          <w:rFonts w:ascii="Calibri" w:hAnsi="Calibri"/>
          <w:b/>
          <w:caps/>
          <w:u w:val="single"/>
        </w:rPr>
        <w:t>ter</w:t>
      </w:r>
      <w:r>
        <w:rPr>
          <w:rFonts w:ascii="Calibri" w:hAnsi="Calibri"/>
          <w:b/>
          <w:caps/>
          <w:u w:val="single"/>
        </w:rPr>
        <w:t xml:space="preserve"> Al bloque 1 del </w:t>
      </w:r>
      <w:r w:rsidRPr="00373C15">
        <w:rPr>
          <w:rFonts w:ascii="Calibri" w:hAnsi="Calibri"/>
          <w:b/>
          <w:caps/>
          <w:u w:val="single"/>
        </w:rPr>
        <w:t xml:space="preserve"> Borrador de conclusiones del Grupo de Trabajo de la Unión Europea, creado en el seno de la Comisión para la Reconstrucción Social y Económica.</w:t>
      </w:r>
    </w:p>
    <w:p w:rsidR="00B064BB" w:rsidRPr="00373C15" w:rsidRDefault="00B064BB" w:rsidP="00373C15">
      <w:pPr>
        <w:jc w:val="both"/>
        <w:rPr>
          <w:rFonts w:asciiTheme="minorHAnsi" w:eastAsia="Times New Roman" w:hAnsiTheme="minorHAnsi"/>
        </w:rPr>
      </w:pPr>
      <w:r>
        <w:rPr>
          <w:rFonts w:asciiTheme="minorHAnsi" w:eastAsia="Times New Roman" w:hAnsiTheme="minorHAnsi"/>
        </w:rPr>
        <w:t>Debe decir:</w:t>
      </w:r>
    </w:p>
    <w:p w:rsidR="00373C15" w:rsidRPr="00373C15" w:rsidRDefault="00373C15" w:rsidP="00373C15">
      <w:pPr>
        <w:jc w:val="both"/>
        <w:rPr>
          <w:rFonts w:asciiTheme="minorHAnsi" w:eastAsia="Times New Roman" w:hAnsiTheme="minorHAnsi"/>
        </w:rPr>
      </w:pPr>
    </w:p>
    <w:p w:rsidR="00373C15" w:rsidRPr="00735D01" w:rsidRDefault="00B064BB" w:rsidP="00373C15">
      <w:pPr>
        <w:jc w:val="both"/>
        <w:rPr>
          <w:rFonts w:asciiTheme="minorHAnsi" w:eastAsia="Times New Roman" w:hAnsiTheme="minorHAnsi" w:cs="Arial"/>
          <w:b/>
        </w:rPr>
      </w:pPr>
      <w:r w:rsidRPr="00735D01">
        <w:rPr>
          <w:rFonts w:asciiTheme="minorHAnsi" w:eastAsia="Times New Roman" w:hAnsiTheme="minorHAnsi" w:cs="Arial"/>
          <w:b/>
        </w:rPr>
        <w:t xml:space="preserve"> </w:t>
      </w:r>
      <w:r w:rsidR="00373C15" w:rsidRPr="00735D01">
        <w:rPr>
          <w:rFonts w:asciiTheme="minorHAnsi" w:eastAsia="Times New Roman" w:hAnsiTheme="minorHAnsi" w:cs="Arial"/>
          <w:b/>
        </w:rPr>
        <w:t>“3 ter. Las Instituciones autonómicas transpondrán, desarrollarán y ejecutarán el derecho y políticas de la UE, incluida la gestión de los fondos europeos, en el ámbito de sus competencias e intereses y de los mecanismos de colaboración que al efecto establezcan cuando la ejecución de aquel derecho y políticas requiera medidas de alcance superior al territorio de alguna de aquella.”</w:t>
      </w:r>
    </w:p>
    <w:p w:rsidR="00B064BB" w:rsidRDefault="00B064BB" w:rsidP="00373C15">
      <w:pPr>
        <w:jc w:val="both"/>
        <w:rPr>
          <w:rFonts w:asciiTheme="minorHAnsi" w:eastAsia="Times New Roman" w:hAnsiTheme="minorHAnsi" w:cs="Arial"/>
          <w:color w:val="E22400"/>
        </w:rPr>
      </w:pPr>
    </w:p>
    <w:p w:rsidR="00B064BB" w:rsidRDefault="00B064BB">
      <w:pPr>
        <w:rPr>
          <w:rFonts w:asciiTheme="minorHAnsi" w:eastAsia="Times New Roman" w:hAnsiTheme="minorHAnsi" w:cs="Arial"/>
          <w:color w:val="E22400"/>
        </w:rPr>
      </w:pPr>
      <w:r>
        <w:rPr>
          <w:rFonts w:asciiTheme="minorHAnsi" w:eastAsia="Times New Roman" w:hAnsiTheme="minorHAnsi" w:cs="Arial"/>
          <w:color w:val="E22400"/>
        </w:rPr>
        <w:br w:type="page"/>
      </w:r>
    </w:p>
    <w:p w:rsidR="00B064BB" w:rsidRPr="00373C15" w:rsidRDefault="00B064BB" w:rsidP="00B064BB">
      <w:pPr>
        <w:spacing w:after="240"/>
        <w:jc w:val="both"/>
        <w:rPr>
          <w:rFonts w:ascii="Calibri" w:hAnsi="Calibri"/>
          <w:b/>
          <w:caps/>
          <w:u w:val="single"/>
        </w:rPr>
      </w:pPr>
      <w:r w:rsidRPr="00373C15">
        <w:rPr>
          <w:rFonts w:ascii="Calibri" w:hAnsi="Calibri"/>
          <w:b/>
          <w:caps/>
          <w:u w:val="single"/>
        </w:rPr>
        <w:t>enmienda</w:t>
      </w:r>
      <w:r>
        <w:rPr>
          <w:rFonts w:ascii="Calibri" w:hAnsi="Calibri"/>
          <w:b/>
          <w:caps/>
          <w:u w:val="single"/>
        </w:rPr>
        <w:t xml:space="preserve"> de </w:t>
      </w:r>
      <w:r w:rsidR="00EF0149">
        <w:rPr>
          <w:rFonts w:ascii="Calibri" w:hAnsi="Calibri"/>
          <w:b/>
          <w:caps/>
          <w:u w:val="single"/>
        </w:rPr>
        <w:t>MODIFICACIÓN AL</w:t>
      </w:r>
      <w:r>
        <w:rPr>
          <w:rFonts w:ascii="Calibri" w:hAnsi="Calibri"/>
          <w:b/>
          <w:caps/>
          <w:u w:val="single"/>
        </w:rPr>
        <w:t xml:space="preserve"> apartado </w:t>
      </w:r>
      <w:r w:rsidR="00EF0149">
        <w:rPr>
          <w:rFonts w:ascii="Calibri" w:hAnsi="Calibri"/>
          <w:b/>
          <w:caps/>
          <w:u w:val="single"/>
        </w:rPr>
        <w:t>12 DEL</w:t>
      </w:r>
      <w:r>
        <w:rPr>
          <w:rFonts w:ascii="Calibri" w:hAnsi="Calibri"/>
          <w:b/>
          <w:caps/>
          <w:u w:val="single"/>
        </w:rPr>
        <w:t xml:space="preserve"> bloque 1 del </w:t>
      </w:r>
      <w:r w:rsidRPr="00373C15">
        <w:rPr>
          <w:rFonts w:ascii="Calibri" w:hAnsi="Calibri"/>
          <w:b/>
          <w:caps/>
          <w:u w:val="single"/>
        </w:rPr>
        <w:t xml:space="preserve"> Borrador de conclusiones del Grupo de Trabajo de la Unión Europea, creado en el seno de la Comisión para la Reconstrucción Social y Económica.</w:t>
      </w:r>
    </w:p>
    <w:p w:rsidR="00B064BB" w:rsidRPr="00373C15" w:rsidRDefault="00EF0149" w:rsidP="00373C15">
      <w:pPr>
        <w:jc w:val="both"/>
        <w:rPr>
          <w:rFonts w:asciiTheme="minorHAnsi" w:eastAsia="Times New Roman" w:hAnsiTheme="minorHAnsi"/>
        </w:rPr>
      </w:pPr>
      <w:r>
        <w:rPr>
          <w:rFonts w:asciiTheme="minorHAnsi" w:eastAsia="Times New Roman" w:hAnsiTheme="minorHAnsi"/>
        </w:rPr>
        <w:t>Debe decir:</w:t>
      </w:r>
    </w:p>
    <w:p w:rsidR="00373C15" w:rsidRPr="00373C15" w:rsidRDefault="00373C15" w:rsidP="00373C15">
      <w:pPr>
        <w:jc w:val="both"/>
        <w:rPr>
          <w:rFonts w:asciiTheme="minorHAnsi" w:eastAsia="Times New Roman" w:hAnsiTheme="minorHAnsi"/>
        </w:rPr>
      </w:pPr>
    </w:p>
    <w:p w:rsidR="00373C15" w:rsidRDefault="00373C15" w:rsidP="00373C15">
      <w:pPr>
        <w:jc w:val="both"/>
        <w:rPr>
          <w:rFonts w:asciiTheme="minorHAnsi" w:eastAsia="Times New Roman" w:hAnsiTheme="minorHAnsi" w:cs="Arial"/>
        </w:rPr>
      </w:pPr>
      <w:r w:rsidRPr="00373C15">
        <w:rPr>
          <w:rFonts w:asciiTheme="minorHAnsi" w:eastAsia="Times New Roman" w:hAnsiTheme="minorHAnsi"/>
        </w:rPr>
        <w:t>“12. </w:t>
      </w:r>
      <w:r w:rsidRPr="00373C15">
        <w:rPr>
          <w:rFonts w:asciiTheme="minorHAnsi" w:eastAsia="Times New Roman" w:hAnsiTheme="minorHAnsi" w:cs="Arial"/>
          <w:strike/>
        </w:rPr>
        <w:t>Tomar en consideración la posibilidad de</w:t>
      </w:r>
      <w:r w:rsidRPr="00373C15">
        <w:rPr>
          <w:rFonts w:asciiTheme="minorHAnsi" w:eastAsia="Times New Roman" w:hAnsiTheme="minorHAnsi" w:cs="Arial"/>
        </w:rPr>
        <w:t xml:space="preserve"> impulsar una directiva de Diligencia Debida en Derechos Humanos para las actividades de las multinacionales europeas, sus cadenas de suministro y subcontratación.”</w:t>
      </w:r>
    </w:p>
    <w:p w:rsidR="00EF0149" w:rsidRDefault="00EF0149" w:rsidP="00373C15">
      <w:pPr>
        <w:jc w:val="both"/>
        <w:rPr>
          <w:rFonts w:asciiTheme="minorHAnsi" w:eastAsia="Times New Roman" w:hAnsiTheme="minorHAnsi" w:cs="Arial"/>
        </w:rPr>
      </w:pPr>
    </w:p>
    <w:p w:rsidR="00EF0149" w:rsidRDefault="00EF0149">
      <w:pPr>
        <w:rPr>
          <w:rFonts w:asciiTheme="minorHAnsi" w:eastAsia="Times New Roman" w:hAnsiTheme="minorHAnsi" w:cs="Arial"/>
        </w:rPr>
      </w:pPr>
      <w:r>
        <w:rPr>
          <w:rFonts w:asciiTheme="minorHAnsi" w:eastAsia="Times New Roman" w:hAnsiTheme="minorHAnsi" w:cs="Arial"/>
        </w:rPr>
        <w:br w:type="page"/>
      </w:r>
    </w:p>
    <w:p w:rsidR="00EF0149" w:rsidRPr="00373C15" w:rsidRDefault="00EF0149" w:rsidP="00EF0149">
      <w:pPr>
        <w:spacing w:after="240"/>
        <w:jc w:val="both"/>
        <w:rPr>
          <w:rFonts w:ascii="Calibri" w:hAnsi="Calibri"/>
          <w:b/>
          <w:caps/>
          <w:u w:val="single"/>
        </w:rPr>
      </w:pPr>
      <w:r w:rsidRPr="00373C15">
        <w:rPr>
          <w:rFonts w:ascii="Calibri" w:hAnsi="Calibri"/>
          <w:b/>
          <w:caps/>
          <w:u w:val="single"/>
        </w:rPr>
        <w:t>enmienda</w:t>
      </w:r>
      <w:r>
        <w:rPr>
          <w:rFonts w:ascii="Calibri" w:hAnsi="Calibri"/>
          <w:b/>
          <w:caps/>
          <w:u w:val="single"/>
        </w:rPr>
        <w:t xml:space="preserve"> de </w:t>
      </w:r>
      <w:r>
        <w:rPr>
          <w:rFonts w:ascii="Calibri" w:hAnsi="Calibri"/>
          <w:b/>
          <w:caps/>
          <w:u w:val="single"/>
        </w:rPr>
        <w:t>modificación al apartado 13</w:t>
      </w:r>
      <w:r w:rsidR="00735D01">
        <w:rPr>
          <w:rFonts w:ascii="Calibri" w:hAnsi="Calibri"/>
          <w:b/>
          <w:caps/>
          <w:u w:val="single"/>
        </w:rPr>
        <w:t xml:space="preserve"> DEL</w:t>
      </w:r>
      <w:r>
        <w:rPr>
          <w:rFonts w:ascii="Calibri" w:hAnsi="Calibri"/>
          <w:b/>
          <w:caps/>
          <w:u w:val="single"/>
        </w:rPr>
        <w:t xml:space="preserve"> bloque 1 del </w:t>
      </w:r>
      <w:r w:rsidRPr="00373C15">
        <w:rPr>
          <w:rFonts w:ascii="Calibri" w:hAnsi="Calibri"/>
          <w:b/>
          <w:caps/>
          <w:u w:val="single"/>
        </w:rPr>
        <w:t xml:space="preserve"> Borrador de conclusiones del Grupo de Trabajo de la Unión Europea, creado en el seno de la Comisión para la Reconstrucción Social y Económica.</w:t>
      </w:r>
    </w:p>
    <w:p w:rsidR="00373C15" w:rsidRPr="00373C15" w:rsidRDefault="00373C15" w:rsidP="00373C15">
      <w:pPr>
        <w:jc w:val="both"/>
        <w:rPr>
          <w:rFonts w:asciiTheme="minorHAnsi" w:eastAsia="Times New Roman" w:hAnsiTheme="minorHAnsi"/>
        </w:rPr>
      </w:pPr>
    </w:p>
    <w:p w:rsidR="00373C15" w:rsidRPr="00735D01" w:rsidRDefault="00EF0149" w:rsidP="00373C15">
      <w:pPr>
        <w:jc w:val="both"/>
        <w:rPr>
          <w:rFonts w:asciiTheme="minorHAnsi" w:eastAsia="Times New Roman" w:hAnsiTheme="minorHAnsi"/>
        </w:rPr>
      </w:pPr>
      <w:r w:rsidRPr="00735D01">
        <w:rPr>
          <w:rFonts w:asciiTheme="minorHAnsi" w:eastAsia="Times New Roman" w:hAnsiTheme="minorHAnsi"/>
          <w:b/>
          <w:bCs/>
        </w:rPr>
        <w:t>E</w:t>
      </w:r>
      <w:r w:rsidR="00373C15" w:rsidRPr="00735D01">
        <w:rPr>
          <w:rFonts w:asciiTheme="minorHAnsi" w:eastAsia="Times New Roman" w:hAnsiTheme="minorHAnsi"/>
          <w:b/>
          <w:bCs/>
        </w:rPr>
        <w:t>l apartado 13, debe pasar al BLOQUE 1 a), con el siguiente texto:</w:t>
      </w:r>
    </w:p>
    <w:p w:rsidR="00373C15" w:rsidRPr="00373C15" w:rsidRDefault="00373C15" w:rsidP="00373C15">
      <w:pPr>
        <w:jc w:val="both"/>
        <w:rPr>
          <w:rFonts w:asciiTheme="minorHAnsi" w:eastAsia="Times New Roman" w:hAnsiTheme="minorHAnsi"/>
        </w:rPr>
      </w:pPr>
      <w:r w:rsidRPr="00373C15">
        <w:rPr>
          <w:rFonts w:asciiTheme="minorHAnsi" w:eastAsia="Times New Roman" w:hAnsiTheme="minorHAnsi"/>
        </w:rPr>
        <w:br/>
      </w:r>
    </w:p>
    <w:p w:rsidR="00373C15" w:rsidRPr="00373C15" w:rsidRDefault="00373C15" w:rsidP="00373C15">
      <w:pPr>
        <w:jc w:val="both"/>
        <w:rPr>
          <w:rFonts w:asciiTheme="minorHAnsi" w:eastAsia="Times New Roman" w:hAnsiTheme="minorHAnsi"/>
        </w:rPr>
      </w:pPr>
      <w:r w:rsidRPr="00373C15">
        <w:rPr>
          <w:rFonts w:asciiTheme="minorHAnsi" w:eastAsia="Times New Roman" w:hAnsiTheme="minorHAnsi" w:cs="Arial"/>
        </w:rPr>
        <w:t xml:space="preserve">“13. Desarrollar el Pilar Social de la UE como una de las prioridades básicas de la UE en pie de igualdad con los pilares económico y monetario, impulsando </w:t>
      </w:r>
      <w:r w:rsidRPr="00735D01">
        <w:rPr>
          <w:rFonts w:asciiTheme="minorHAnsi" w:eastAsia="Times New Roman" w:hAnsiTheme="minorHAnsi" w:cs="Arial"/>
          <w:b/>
        </w:rPr>
        <w:t xml:space="preserve">el empleo juvenil, </w:t>
      </w:r>
      <w:r w:rsidRPr="00373C15">
        <w:rPr>
          <w:rFonts w:asciiTheme="minorHAnsi" w:eastAsia="Times New Roman" w:hAnsiTheme="minorHAnsi" w:cs="Arial"/>
        </w:rPr>
        <w:t>el seguro europeo de desempleo, el salario mínimo interprofesional europeo, un instrumento europeo sobre Ingreso Mínimo Vital o una Estrategia Europea de Combate contra la Pobreza y para la Igualdad de Género, reforzando la Garantías Juvenil y poniendo en marcha una Garantía Infantil.”</w:t>
      </w:r>
    </w:p>
    <w:p w:rsidR="00EF0149" w:rsidRDefault="00EF0149">
      <w:pPr>
        <w:rPr>
          <w:rFonts w:asciiTheme="minorHAnsi" w:eastAsia="Times New Roman" w:hAnsiTheme="minorHAnsi"/>
        </w:rPr>
      </w:pPr>
      <w:r>
        <w:rPr>
          <w:rFonts w:asciiTheme="minorHAnsi" w:eastAsia="Times New Roman" w:hAnsiTheme="minorHAnsi"/>
        </w:rPr>
        <w:br w:type="page"/>
      </w:r>
    </w:p>
    <w:p w:rsidR="00EF0149" w:rsidRPr="00373C15" w:rsidRDefault="00EF0149" w:rsidP="00EF0149">
      <w:pPr>
        <w:spacing w:after="240"/>
        <w:jc w:val="both"/>
        <w:rPr>
          <w:rFonts w:ascii="Calibri" w:hAnsi="Calibri"/>
          <w:b/>
          <w:caps/>
          <w:u w:val="single"/>
        </w:rPr>
      </w:pPr>
      <w:r w:rsidRPr="00373C15">
        <w:rPr>
          <w:rFonts w:ascii="Calibri" w:hAnsi="Calibri"/>
          <w:b/>
          <w:caps/>
          <w:u w:val="single"/>
        </w:rPr>
        <w:t>enmienda</w:t>
      </w:r>
      <w:r>
        <w:rPr>
          <w:rFonts w:ascii="Calibri" w:hAnsi="Calibri"/>
          <w:b/>
          <w:caps/>
          <w:u w:val="single"/>
        </w:rPr>
        <w:t xml:space="preserve"> de modificación al apartado </w:t>
      </w:r>
      <w:r>
        <w:rPr>
          <w:rFonts w:ascii="Calibri" w:hAnsi="Calibri"/>
          <w:b/>
          <w:caps/>
          <w:u w:val="single"/>
        </w:rPr>
        <w:t>17</w:t>
      </w:r>
      <w:r>
        <w:rPr>
          <w:rFonts w:ascii="Calibri" w:hAnsi="Calibri"/>
          <w:b/>
          <w:caps/>
          <w:u w:val="single"/>
        </w:rPr>
        <w:t xml:space="preserve"> del </w:t>
      </w:r>
      <w:r w:rsidRPr="00373C15">
        <w:rPr>
          <w:rFonts w:ascii="Calibri" w:hAnsi="Calibri"/>
          <w:b/>
          <w:caps/>
          <w:u w:val="single"/>
        </w:rPr>
        <w:t xml:space="preserve"> </w:t>
      </w:r>
      <w:r>
        <w:rPr>
          <w:rFonts w:ascii="Calibri" w:hAnsi="Calibri"/>
          <w:b/>
          <w:caps/>
          <w:u w:val="single"/>
        </w:rPr>
        <w:t xml:space="preserve">bloque 1 del </w:t>
      </w:r>
      <w:r w:rsidRPr="00373C15">
        <w:rPr>
          <w:rFonts w:ascii="Calibri" w:hAnsi="Calibri"/>
          <w:b/>
          <w:caps/>
          <w:u w:val="single"/>
        </w:rPr>
        <w:t>Borrador de conclusiones del Grupo de Trabajo de la Unión Europea, creado en el seno de la Comisión para la Reconstrucción Social y Económica.</w:t>
      </w:r>
    </w:p>
    <w:p w:rsidR="00373C15" w:rsidRPr="00735D01" w:rsidRDefault="00EF0149" w:rsidP="00373C15">
      <w:pPr>
        <w:jc w:val="both"/>
        <w:rPr>
          <w:rFonts w:asciiTheme="minorHAnsi" w:eastAsia="Times New Roman" w:hAnsiTheme="minorHAnsi"/>
          <w:b/>
          <w:bCs/>
        </w:rPr>
      </w:pPr>
      <w:r w:rsidRPr="00735D01">
        <w:rPr>
          <w:rFonts w:asciiTheme="minorHAnsi" w:eastAsia="Times New Roman" w:hAnsiTheme="minorHAnsi"/>
          <w:b/>
          <w:bCs/>
        </w:rPr>
        <w:t>E</w:t>
      </w:r>
      <w:r w:rsidR="00373C15" w:rsidRPr="00735D01">
        <w:rPr>
          <w:rFonts w:asciiTheme="minorHAnsi" w:eastAsia="Times New Roman" w:hAnsiTheme="minorHAnsi"/>
          <w:b/>
          <w:bCs/>
        </w:rPr>
        <w:t>l apartado 17, debe pasar al BLOQUE 1 a), con el siguiente texto: </w:t>
      </w:r>
    </w:p>
    <w:p w:rsidR="00EF0149" w:rsidRPr="00373C15" w:rsidRDefault="00EF0149" w:rsidP="00373C15">
      <w:pPr>
        <w:jc w:val="both"/>
        <w:rPr>
          <w:rFonts w:asciiTheme="minorHAnsi" w:eastAsia="Times New Roman" w:hAnsiTheme="minorHAnsi"/>
        </w:rPr>
      </w:pPr>
    </w:p>
    <w:p w:rsidR="00373C15" w:rsidRDefault="00373C15" w:rsidP="00373C15">
      <w:pPr>
        <w:jc w:val="both"/>
        <w:rPr>
          <w:rFonts w:asciiTheme="minorHAnsi" w:eastAsia="Times New Roman" w:hAnsiTheme="minorHAnsi" w:cs="Arial"/>
          <w:color w:val="E22400"/>
        </w:rPr>
      </w:pPr>
      <w:r w:rsidRPr="00373C15">
        <w:rPr>
          <w:rFonts w:asciiTheme="minorHAnsi" w:eastAsia="Times New Roman" w:hAnsiTheme="minorHAnsi"/>
        </w:rPr>
        <w:t>“17. </w:t>
      </w:r>
      <w:r w:rsidRPr="00373C15">
        <w:rPr>
          <w:rFonts w:asciiTheme="minorHAnsi" w:eastAsia="Times New Roman" w:hAnsiTheme="minorHAnsi" w:cs="Arial"/>
        </w:rPr>
        <w:t xml:space="preserve">Impulsar medidas que regulen la compra de empresas de la UE por parte de compañías no europeas que reciben subsidios públicos, con especial atención a los sectores estratégicos. </w:t>
      </w:r>
      <w:r w:rsidRPr="00735D01">
        <w:rPr>
          <w:rFonts w:asciiTheme="minorHAnsi" w:eastAsia="Times New Roman" w:hAnsiTheme="minorHAnsi" w:cs="Arial"/>
          <w:b/>
        </w:rPr>
        <w:t xml:space="preserve">Así como defender a la industria y empresas europeas frente a </w:t>
      </w:r>
      <w:r w:rsidRPr="00735D01">
        <w:rPr>
          <w:rFonts w:asciiTheme="minorHAnsi" w:eastAsia="Times New Roman" w:hAnsiTheme="minorHAnsi" w:cs="Arial"/>
          <w:b/>
        </w:rPr>
        <w:lastRenderedPageBreak/>
        <w:t>mercados proteccionistas a través de un trato de reciprocidad a las empresas de esos mercados cuando pretendan desarrollar su actividad en la Unión</w:t>
      </w:r>
      <w:r w:rsidR="00EF0149" w:rsidRPr="00735D01">
        <w:rPr>
          <w:rFonts w:asciiTheme="minorHAnsi" w:eastAsia="Times New Roman" w:hAnsiTheme="minorHAnsi" w:cs="Arial"/>
          <w:b/>
        </w:rPr>
        <w:t>”.</w:t>
      </w:r>
    </w:p>
    <w:p w:rsidR="00EF0149" w:rsidRDefault="00EF0149" w:rsidP="00373C15">
      <w:pPr>
        <w:jc w:val="both"/>
        <w:rPr>
          <w:rFonts w:asciiTheme="minorHAnsi" w:eastAsia="Times New Roman" w:hAnsiTheme="minorHAnsi" w:cs="Arial"/>
          <w:color w:val="E22400"/>
        </w:rPr>
      </w:pPr>
    </w:p>
    <w:p w:rsidR="00EF0149" w:rsidRDefault="00EF0149" w:rsidP="00373C15">
      <w:pPr>
        <w:jc w:val="both"/>
        <w:rPr>
          <w:rFonts w:asciiTheme="minorHAnsi" w:eastAsia="Times New Roman" w:hAnsiTheme="minorHAnsi" w:cs="Arial"/>
          <w:color w:val="E22400"/>
        </w:rPr>
      </w:pPr>
    </w:p>
    <w:p w:rsidR="00EF0149" w:rsidRDefault="00EF0149" w:rsidP="00373C15">
      <w:pPr>
        <w:jc w:val="both"/>
        <w:rPr>
          <w:rFonts w:asciiTheme="minorHAnsi" w:eastAsia="Times New Roman" w:hAnsiTheme="minorHAnsi" w:cs="Arial"/>
          <w:color w:val="E22400"/>
        </w:rPr>
      </w:pPr>
    </w:p>
    <w:p w:rsidR="00EF0149" w:rsidRDefault="00EF0149">
      <w:pPr>
        <w:rPr>
          <w:rFonts w:asciiTheme="minorHAnsi" w:eastAsia="Times New Roman" w:hAnsiTheme="minorHAnsi" w:cs="Arial"/>
          <w:color w:val="E22400"/>
        </w:rPr>
      </w:pPr>
      <w:r>
        <w:rPr>
          <w:rFonts w:asciiTheme="minorHAnsi" w:eastAsia="Times New Roman" w:hAnsiTheme="minorHAnsi" w:cs="Arial"/>
          <w:color w:val="E22400"/>
        </w:rPr>
        <w:br w:type="page"/>
      </w:r>
    </w:p>
    <w:p w:rsidR="00EF0149" w:rsidRPr="00373C15" w:rsidRDefault="00EF0149" w:rsidP="00EF0149">
      <w:pPr>
        <w:spacing w:after="240"/>
        <w:jc w:val="both"/>
        <w:rPr>
          <w:rFonts w:ascii="Calibri" w:hAnsi="Calibri"/>
          <w:b/>
          <w:caps/>
          <w:u w:val="single"/>
        </w:rPr>
      </w:pPr>
      <w:r w:rsidRPr="00373C15">
        <w:rPr>
          <w:rFonts w:ascii="Calibri" w:hAnsi="Calibri"/>
          <w:b/>
          <w:caps/>
          <w:u w:val="single"/>
        </w:rPr>
        <w:t>enmienda</w:t>
      </w:r>
      <w:r>
        <w:rPr>
          <w:rFonts w:ascii="Calibri" w:hAnsi="Calibri"/>
          <w:b/>
          <w:caps/>
          <w:u w:val="single"/>
        </w:rPr>
        <w:t xml:space="preserve"> de modificación al apartado </w:t>
      </w:r>
      <w:r>
        <w:rPr>
          <w:rFonts w:ascii="Calibri" w:hAnsi="Calibri"/>
          <w:b/>
          <w:caps/>
          <w:u w:val="single"/>
        </w:rPr>
        <w:t>20</w:t>
      </w:r>
      <w:r w:rsidR="00735D01">
        <w:rPr>
          <w:rFonts w:ascii="Calibri" w:hAnsi="Calibri"/>
          <w:b/>
          <w:caps/>
          <w:u w:val="single"/>
        </w:rPr>
        <w:t xml:space="preserve"> DEL</w:t>
      </w:r>
      <w:r>
        <w:rPr>
          <w:rFonts w:ascii="Calibri" w:hAnsi="Calibri"/>
          <w:b/>
          <w:caps/>
          <w:u w:val="single"/>
        </w:rPr>
        <w:t xml:space="preserve"> </w:t>
      </w:r>
      <w:r>
        <w:rPr>
          <w:rFonts w:ascii="Calibri" w:hAnsi="Calibri"/>
          <w:b/>
          <w:caps/>
          <w:u w:val="single"/>
        </w:rPr>
        <w:t xml:space="preserve">bloque 1 del </w:t>
      </w:r>
      <w:r w:rsidRPr="00373C15">
        <w:rPr>
          <w:rFonts w:ascii="Calibri" w:hAnsi="Calibri"/>
          <w:b/>
          <w:caps/>
          <w:u w:val="single"/>
        </w:rPr>
        <w:t xml:space="preserve"> Borrador de conclusiones del Grupo de Trabajo de la Unión Europea, creado en el seno de la Comisión para la Reconstrucción Social y Económica.</w:t>
      </w:r>
    </w:p>
    <w:p w:rsidR="00373C15" w:rsidRPr="00373C15" w:rsidRDefault="00373C15" w:rsidP="00373C15">
      <w:pPr>
        <w:jc w:val="both"/>
        <w:rPr>
          <w:rFonts w:asciiTheme="minorHAnsi" w:eastAsia="Times New Roman" w:hAnsiTheme="minorHAnsi"/>
        </w:rPr>
      </w:pPr>
    </w:p>
    <w:p w:rsidR="00373C15" w:rsidRPr="00EF0149" w:rsidRDefault="00EF0149" w:rsidP="00373C15">
      <w:pPr>
        <w:jc w:val="both"/>
        <w:rPr>
          <w:rFonts w:asciiTheme="minorHAnsi" w:eastAsia="Times New Roman" w:hAnsiTheme="minorHAnsi"/>
        </w:rPr>
      </w:pPr>
      <w:r w:rsidRPr="00EF0149">
        <w:rPr>
          <w:rFonts w:asciiTheme="minorHAnsi" w:eastAsia="Times New Roman" w:hAnsiTheme="minorHAnsi"/>
          <w:bCs/>
        </w:rPr>
        <w:t>Debe decir:</w:t>
      </w:r>
    </w:p>
    <w:p w:rsidR="00373C15" w:rsidRDefault="00373C15" w:rsidP="00373C15">
      <w:pPr>
        <w:jc w:val="both"/>
        <w:rPr>
          <w:rFonts w:asciiTheme="minorHAnsi" w:eastAsia="Times New Roman" w:hAnsiTheme="minorHAnsi" w:cs="Arial"/>
        </w:rPr>
      </w:pPr>
      <w:r w:rsidRPr="00373C15">
        <w:rPr>
          <w:rFonts w:asciiTheme="minorHAnsi" w:eastAsia="Times New Roman" w:hAnsiTheme="minorHAnsi"/>
        </w:rPr>
        <w:br/>
      </w:r>
      <w:r w:rsidRPr="00373C15">
        <w:rPr>
          <w:rFonts w:asciiTheme="minorHAnsi" w:eastAsia="Times New Roman" w:hAnsiTheme="minorHAnsi" w:cs="Arial"/>
        </w:rPr>
        <w:t xml:space="preserve">“20. Asegurar que la salida de la crisis se produce </w:t>
      </w:r>
      <w:r w:rsidRPr="00735D01">
        <w:rPr>
          <w:rFonts w:asciiTheme="minorHAnsi" w:eastAsia="Times New Roman" w:hAnsiTheme="minorHAnsi" w:cs="Arial"/>
          <w:b/>
        </w:rPr>
        <w:t>manteniendo y</w:t>
      </w:r>
      <w:r w:rsidRPr="00373C15">
        <w:rPr>
          <w:rFonts w:asciiTheme="minorHAnsi" w:eastAsia="Times New Roman" w:hAnsiTheme="minorHAnsi" w:cs="Arial"/>
          <w:color w:val="DA5100"/>
        </w:rPr>
        <w:t xml:space="preserve"> </w:t>
      </w:r>
      <w:r w:rsidRPr="00373C15">
        <w:rPr>
          <w:rFonts w:asciiTheme="minorHAnsi" w:eastAsia="Times New Roman" w:hAnsiTheme="minorHAnsi" w:cs="Arial"/>
        </w:rPr>
        <w:t xml:space="preserve">generando empleo </w:t>
      </w:r>
      <w:r w:rsidRPr="00735D01">
        <w:rPr>
          <w:rFonts w:asciiTheme="minorHAnsi" w:eastAsia="Times New Roman" w:hAnsiTheme="minorHAnsi" w:cs="Arial"/>
          <w:b/>
        </w:rPr>
        <w:t>sobre todo</w:t>
      </w:r>
      <w:r w:rsidRPr="00735D01">
        <w:rPr>
          <w:rFonts w:asciiTheme="minorHAnsi" w:eastAsia="Times New Roman" w:hAnsiTheme="minorHAnsi" w:cs="Arial"/>
        </w:rPr>
        <w:t xml:space="preserve"> </w:t>
      </w:r>
      <w:r w:rsidRPr="00373C15">
        <w:rPr>
          <w:rFonts w:asciiTheme="minorHAnsi" w:eastAsia="Times New Roman" w:hAnsiTheme="minorHAnsi" w:cs="Arial"/>
        </w:rPr>
        <w:t>de calidad, en sectores relacionados con la transición ecológica, la agricultura sostenible, la adaptación a los impactos del cambio climático, el sistema asistencial y la transformación digital.”</w:t>
      </w:r>
    </w:p>
    <w:p w:rsidR="00EF0149" w:rsidRDefault="00EF0149" w:rsidP="00373C15">
      <w:pPr>
        <w:jc w:val="both"/>
        <w:rPr>
          <w:rFonts w:asciiTheme="minorHAnsi" w:eastAsia="Times New Roman" w:hAnsiTheme="minorHAnsi" w:cs="Arial"/>
        </w:rPr>
      </w:pPr>
    </w:p>
    <w:p w:rsidR="00EF0149" w:rsidRDefault="00EF0149">
      <w:pPr>
        <w:rPr>
          <w:rFonts w:asciiTheme="minorHAnsi" w:eastAsia="Times New Roman" w:hAnsiTheme="minorHAnsi" w:cs="Arial"/>
        </w:rPr>
      </w:pPr>
      <w:r>
        <w:rPr>
          <w:rFonts w:asciiTheme="minorHAnsi" w:eastAsia="Times New Roman" w:hAnsiTheme="minorHAnsi" w:cs="Arial"/>
        </w:rPr>
        <w:br w:type="page"/>
      </w:r>
    </w:p>
    <w:p w:rsidR="00EF0149" w:rsidRPr="00373C15" w:rsidRDefault="00EF0149" w:rsidP="00EF0149">
      <w:pPr>
        <w:spacing w:after="240"/>
        <w:jc w:val="both"/>
        <w:rPr>
          <w:rFonts w:ascii="Calibri" w:hAnsi="Calibri"/>
          <w:b/>
          <w:caps/>
          <w:u w:val="single"/>
        </w:rPr>
      </w:pPr>
      <w:r w:rsidRPr="00373C15">
        <w:rPr>
          <w:rFonts w:ascii="Calibri" w:hAnsi="Calibri"/>
          <w:b/>
          <w:caps/>
          <w:u w:val="single"/>
        </w:rPr>
        <w:t>enmienda</w:t>
      </w:r>
      <w:r>
        <w:rPr>
          <w:rFonts w:ascii="Calibri" w:hAnsi="Calibri"/>
          <w:b/>
          <w:caps/>
          <w:u w:val="single"/>
        </w:rPr>
        <w:t xml:space="preserve"> de modificación al apartado </w:t>
      </w:r>
      <w:r>
        <w:rPr>
          <w:rFonts w:ascii="Calibri" w:hAnsi="Calibri"/>
          <w:b/>
          <w:caps/>
          <w:u w:val="single"/>
        </w:rPr>
        <w:t>23</w:t>
      </w:r>
      <w:r w:rsidR="00735D01">
        <w:rPr>
          <w:rFonts w:ascii="Calibri" w:hAnsi="Calibri"/>
          <w:b/>
          <w:caps/>
          <w:u w:val="single"/>
        </w:rPr>
        <w:t xml:space="preserve"> DEL</w:t>
      </w:r>
      <w:r>
        <w:rPr>
          <w:rFonts w:ascii="Calibri" w:hAnsi="Calibri"/>
          <w:b/>
          <w:caps/>
          <w:u w:val="single"/>
        </w:rPr>
        <w:t xml:space="preserve"> bloque 1 del </w:t>
      </w:r>
      <w:r w:rsidRPr="00373C15">
        <w:rPr>
          <w:rFonts w:ascii="Calibri" w:hAnsi="Calibri"/>
          <w:b/>
          <w:caps/>
          <w:u w:val="single"/>
        </w:rPr>
        <w:t xml:space="preserve"> Borrador de conclusiones del Grupo de Trabajo de la Unión Europea, creado en el seno de la Comisión para la Reconstrucción Social y Económica.</w:t>
      </w:r>
    </w:p>
    <w:p w:rsidR="00EF0149" w:rsidRPr="00373C15" w:rsidRDefault="00EF0149" w:rsidP="00373C15">
      <w:pPr>
        <w:jc w:val="both"/>
        <w:rPr>
          <w:rFonts w:asciiTheme="minorHAnsi" w:eastAsia="Times New Roman" w:hAnsiTheme="minorHAnsi"/>
        </w:rPr>
      </w:pPr>
    </w:p>
    <w:p w:rsidR="00373C15" w:rsidRPr="00735D01" w:rsidRDefault="00EF0149" w:rsidP="00373C15">
      <w:pPr>
        <w:jc w:val="both"/>
        <w:rPr>
          <w:rFonts w:asciiTheme="minorHAnsi" w:eastAsia="Times New Roman" w:hAnsiTheme="minorHAnsi"/>
          <w:b/>
          <w:bCs/>
        </w:rPr>
      </w:pPr>
      <w:r w:rsidRPr="00735D01">
        <w:rPr>
          <w:rFonts w:asciiTheme="minorHAnsi" w:eastAsia="Times New Roman" w:hAnsiTheme="minorHAnsi"/>
          <w:b/>
          <w:bCs/>
        </w:rPr>
        <w:t>E</w:t>
      </w:r>
      <w:r w:rsidR="00373C15" w:rsidRPr="00735D01">
        <w:rPr>
          <w:rFonts w:asciiTheme="minorHAnsi" w:eastAsia="Times New Roman" w:hAnsiTheme="minorHAnsi"/>
          <w:b/>
          <w:bCs/>
        </w:rPr>
        <w:t>l apartado 23, debe pasar al BLOQUE 1 a), con el siguiente texto:</w:t>
      </w:r>
    </w:p>
    <w:p w:rsidR="00EF0149" w:rsidRPr="00EF0149" w:rsidRDefault="00EF0149" w:rsidP="00373C15">
      <w:pPr>
        <w:jc w:val="both"/>
        <w:rPr>
          <w:rFonts w:asciiTheme="minorHAnsi" w:eastAsia="Times New Roman" w:hAnsiTheme="minorHAnsi"/>
          <w:b/>
          <w:u w:val="single"/>
        </w:rPr>
      </w:pPr>
    </w:p>
    <w:p w:rsidR="00373C15" w:rsidRPr="00735D01" w:rsidRDefault="00EF0149" w:rsidP="00EF0149">
      <w:pPr>
        <w:jc w:val="both"/>
        <w:rPr>
          <w:rFonts w:asciiTheme="minorHAnsi" w:eastAsia="Times New Roman" w:hAnsiTheme="minorHAnsi" w:cs="Arial"/>
          <w:b/>
        </w:rPr>
      </w:pPr>
      <w:r>
        <w:rPr>
          <w:rFonts w:asciiTheme="minorHAnsi" w:eastAsia="Times New Roman" w:hAnsiTheme="minorHAnsi" w:cs="Arial"/>
        </w:rPr>
        <w:t xml:space="preserve">1. </w:t>
      </w:r>
      <w:r w:rsidR="00373C15" w:rsidRPr="00373C15">
        <w:rPr>
          <w:rFonts w:asciiTheme="minorHAnsi" w:eastAsia="Times New Roman" w:hAnsiTheme="minorHAnsi" w:cs="Arial"/>
        </w:rPr>
        <w:t xml:space="preserve">“Garantizar que la Política Agraria Común (PAC), así como la Política Pesquera Común (PPC), cuenten con los recursos necesarios para amortiguar los efectos que la covid-19 ha tenido en nuestro sector primario, asegurando su desarrollo conforme a las políticas de lucha contra el cambio climático, protección de la biodiversidad y producción saludable, con especial atención a las pequeñas y medianas explotaciones </w:t>
      </w:r>
      <w:r w:rsidR="00373C15" w:rsidRPr="00735D01">
        <w:rPr>
          <w:rFonts w:asciiTheme="minorHAnsi" w:eastAsia="Times New Roman" w:hAnsiTheme="minorHAnsi" w:cs="Arial"/>
          <w:b/>
        </w:rPr>
        <w:t>y a los jóvenes agricultores.”</w:t>
      </w:r>
    </w:p>
    <w:p w:rsidR="00EF0149" w:rsidRDefault="00EF0149" w:rsidP="00EF0149">
      <w:pPr>
        <w:jc w:val="both"/>
        <w:rPr>
          <w:rFonts w:asciiTheme="minorHAnsi" w:eastAsia="Times New Roman" w:hAnsiTheme="minorHAnsi" w:cs="Arial"/>
          <w:color w:val="E22400"/>
        </w:rPr>
      </w:pPr>
    </w:p>
    <w:p w:rsidR="00EF0149" w:rsidRDefault="00EF0149">
      <w:pPr>
        <w:rPr>
          <w:rFonts w:asciiTheme="minorHAnsi" w:eastAsia="Times New Roman" w:hAnsiTheme="minorHAnsi" w:cs="Arial"/>
          <w:color w:val="E22400"/>
        </w:rPr>
      </w:pPr>
      <w:r>
        <w:rPr>
          <w:rFonts w:asciiTheme="minorHAnsi" w:eastAsia="Times New Roman" w:hAnsiTheme="minorHAnsi" w:cs="Arial"/>
          <w:color w:val="E22400"/>
        </w:rPr>
        <w:br w:type="page"/>
      </w:r>
    </w:p>
    <w:p w:rsidR="00EF0149" w:rsidRPr="00373C15" w:rsidRDefault="00EF0149" w:rsidP="00EF0149">
      <w:pPr>
        <w:spacing w:after="240"/>
        <w:jc w:val="both"/>
        <w:rPr>
          <w:rFonts w:ascii="Calibri" w:hAnsi="Calibri"/>
          <w:b/>
          <w:caps/>
          <w:u w:val="single"/>
        </w:rPr>
      </w:pPr>
      <w:r w:rsidRPr="00373C15">
        <w:rPr>
          <w:rFonts w:ascii="Calibri" w:hAnsi="Calibri"/>
          <w:b/>
          <w:caps/>
          <w:u w:val="single"/>
        </w:rPr>
        <w:t>enmienda</w:t>
      </w:r>
      <w:r>
        <w:rPr>
          <w:rFonts w:ascii="Calibri" w:hAnsi="Calibri"/>
          <w:b/>
          <w:caps/>
          <w:u w:val="single"/>
        </w:rPr>
        <w:t xml:space="preserve"> de modificación al apartado </w:t>
      </w:r>
      <w:r>
        <w:rPr>
          <w:rFonts w:ascii="Calibri" w:hAnsi="Calibri"/>
          <w:b/>
          <w:caps/>
          <w:u w:val="single"/>
        </w:rPr>
        <w:t>24</w:t>
      </w:r>
      <w:r w:rsidR="00735D01">
        <w:rPr>
          <w:rFonts w:ascii="Calibri" w:hAnsi="Calibri"/>
          <w:b/>
          <w:caps/>
          <w:u w:val="single"/>
        </w:rPr>
        <w:t xml:space="preserve"> DEL</w:t>
      </w:r>
      <w:r>
        <w:rPr>
          <w:rFonts w:ascii="Calibri" w:hAnsi="Calibri"/>
          <w:b/>
          <w:caps/>
          <w:u w:val="single"/>
        </w:rPr>
        <w:t xml:space="preserve"> bloque 1 del </w:t>
      </w:r>
      <w:r w:rsidRPr="00373C15">
        <w:rPr>
          <w:rFonts w:ascii="Calibri" w:hAnsi="Calibri"/>
          <w:b/>
          <w:caps/>
          <w:u w:val="single"/>
        </w:rPr>
        <w:t xml:space="preserve"> Borrador de conclusiones del Grupo de Trabajo de la Unión Europea, creado en el seno de la Comisión para la Reconstrucción Social y Económica.</w:t>
      </w:r>
    </w:p>
    <w:p w:rsidR="00373C15" w:rsidRPr="00373C15" w:rsidRDefault="00373C15" w:rsidP="00373C15">
      <w:pPr>
        <w:jc w:val="both"/>
        <w:rPr>
          <w:rFonts w:asciiTheme="minorHAnsi" w:eastAsia="Times New Roman" w:hAnsiTheme="minorHAnsi"/>
        </w:rPr>
      </w:pPr>
    </w:p>
    <w:p w:rsidR="00373C15" w:rsidRPr="00735D01" w:rsidRDefault="00EF0149" w:rsidP="00373C15">
      <w:pPr>
        <w:jc w:val="both"/>
        <w:rPr>
          <w:rFonts w:asciiTheme="minorHAnsi" w:eastAsia="Times New Roman" w:hAnsiTheme="minorHAnsi"/>
        </w:rPr>
      </w:pPr>
      <w:r w:rsidRPr="00735D01">
        <w:rPr>
          <w:rFonts w:asciiTheme="minorHAnsi" w:eastAsia="Times New Roman" w:hAnsiTheme="minorHAnsi"/>
          <w:bCs/>
        </w:rPr>
        <w:t>D</w:t>
      </w:r>
      <w:r w:rsidR="00373C15" w:rsidRPr="00735D01">
        <w:rPr>
          <w:rFonts w:asciiTheme="minorHAnsi" w:eastAsia="Times New Roman" w:hAnsiTheme="minorHAnsi"/>
          <w:bCs/>
        </w:rPr>
        <w:t>ebe decir:</w:t>
      </w:r>
    </w:p>
    <w:p w:rsidR="00373C15" w:rsidRDefault="00373C15" w:rsidP="00373C15">
      <w:pPr>
        <w:jc w:val="both"/>
        <w:rPr>
          <w:rFonts w:asciiTheme="minorHAnsi" w:eastAsia="Times New Roman" w:hAnsiTheme="minorHAnsi" w:cs="Arial"/>
        </w:rPr>
      </w:pPr>
      <w:r w:rsidRPr="00373C15">
        <w:rPr>
          <w:rFonts w:asciiTheme="minorHAnsi" w:eastAsia="Times New Roman" w:hAnsiTheme="minorHAnsi"/>
        </w:rPr>
        <w:br/>
      </w:r>
      <w:r w:rsidRPr="00373C15">
        <w:rPr>
          <w:rFonts w:asciiTheme="minorHAnsi" w:eastAsia="Times New Roman" w:hAnsiTheme="minorHAnsi" w:cs="Arial"/>
        </w:rPr>
        <w:t xml:space="preserve">“24. Impulsar planes específicos de recuperación tras la covid-19 para las zonas despobladas, </w:t>
      </w:r>
      <w:r w:rsidR="00A52962">
        <w:rPr>
          <w:rFonts w:asciiTheme="minorHAnsi" w:eastAsia="Times New Roman" w:hAnsiTheme="minorHAnsi" w:cs="Arial"/>
        </w:rPr>
        <w:t>islas</w:t>
      </w:r>
      <w:r w:rsidR="009C19B4">
        <w:rPr>
          <w:rFonts w:asciiTheme="minorHAnsi" w:eastAsia="Times New Roman" w:hAnsiTheme="minorHAnsi" w:cs="Arial"/>
        </w:rPr>
        <w:t xml:space="preserve"> </w:t>
      </w:r>
      <w:r w:rsidR="009C19B4" w:rsidRPr="009C19B4">
        <w:rPr>
          <w:rFonts w:asciiTheme="minorHAnsi" w:eastAsia="Times New Roman" w:hAnsiTheme="minorHAnsi" w:cs="Arial"/>
          <w:b/>
        </w:rPr>
        <w:t>y</w:t>
      </w:r>
      <w:r w:rsidR="00A52962">
        <w:rPr>
          <w:rFonts w:asciiTheme="minorHAnsi" w:eastAsia="Times New Roman" w:hAnsiTheme="minorHAnsi" w:cs="Arial"/>
        </w:rPr>
        <w:t xml:space="preserve"> regiones </w:t>
      </w:r>
      <w:proofErr w:type="spellStart"/>
      <w:r w:rsidR="00A52962">
        <w:rPr>
          <w:rFonts w:asciiTheme="minorHAnsi" w:eastAsia="Times New Roman" w:hAnsiTheme="minorHAnsi" w:cs="Arial"/>
        </w:rPr>
        <w:t>ultraperiférica</w:t>
      </w:r>
      <w:r w:rsidR="009C19B4">
        <w:rPr>
          <w:rFonts w:asciiTheme="minorHAnsi" w:eastAsia="Times New Roman" w:hAnsiTheme="minorHAnsi" w:cs="Arial"/>
        </w:rPr>
        <w:t>s</w:t>
      </w:r>
      <w:proofErr w:type="spellEnd"/>
      <w:r w:rsidR="009C19B4" w:rsidRPr="009C19B4">
        <w:rPr>
          <w:rFonts w:asciiTheme="minorHAnsi" w:eastAsia="Times New Roman" w:hAnsiTheme="minorHAnsi" w:cs="Arial"/>
          <w:b/>
        </w:rPr>
        <w:t>,</w:t>
      </w:r>
      <w:r w:rsidR="009C19B4">
        <w:rPr>
          <w:rFonts w:asciiTheme="minorHAnsi" w:eastAsia="Times New Roman" w:hAnsiTheme="minorHAnsi" w:cs="Arial"/>
        </w:rPr>
        <w:t xml:space="preserve"> </w:t>
      </w:r>
      <w:r w:rsidR="009C19B4" w:rsidRPr="009C19B4">
        <w:rPr>
          <w:rFonts w:asciiTheme="minorHAnsi" w:eastAsia="Times New Roman" w:hAnsiTheme="minorHAnsi" w:cs="Arial"/>
          <w:b/>
        </w:rPr>
        <w:t>así como</w:t>
      </w:r>
      <w:r w:rsidR="009C19B4">
        <w:rPr>
          <w:rFonts w:asciiTheme="minorHAnsi" w:eastAsia="Times New Roman" w:hAnsiTheme="minorHAnsi" w:cs="Arial"/>
        </w:rPr>
        <w:t xml:space="preserve"> </w:t>
      </w:r>
      <w:r w:rsidRPr="009C19B4">
        <w:rPr>
          <w:rFonts w:asciiTheme="minorHAnsi" w:eastAsia="Times New Roman" w:hAnsiTheme="minorHAnsi" w:cs="Arial"/>
          <w:strike/>
        </w:rPr>
        <w:t>y</w:t>
      </w:r>
      <w:r w:rsidRPr="00373C15">
        <w:rPr>
          <w:rFonts w:asciiTheme="minorHAnsi" w:eastAsia="Times New Roman" w:hAnsiTheme="minorHAnsi" w:cs="Arial"/>
        </w:rPr>
        <w:t xml:space="preserve"> garantizar la orientación de los fondos europeos para reconstrucción hacia políticas de igualdad de género que actúen sobre </w:t>
      </w:r>
      <w:r w:rsidRPr="00373C15">
        <w:rPr>
          <w:rFonts w:asciiTheme="minorHAnsi" w:eastAsia="Times New Roman" w:hAnsiTheme="minorHAnsi" w:cs="Arial"/>
          <w:strike/>
        </w:rPr>
        <w:t>de</w:t>
      </w:r>
      <w:r w:rsidRPr="00373C15">
        <w:rPr>
          <w:rFonts w:asciiTheme="minorHAnsi" w:eastAsia="Times New Roman" w:hAnsiTheme="minorHAnsi" w:cs="Arial"/>
        </w:rPr>
        <w:t xml:space="preserve"> las condiciones de vida de las mujeres en las zonas afectadas por la despoblación, desarrollando estrategias específicas para su despliegue en condiciones de equidad.”</w:t>
      </w:r>
    </w:p>
    <w:p w:rsidR="00A52962" w:rsidRDefault="00A52962">
      <w:pPr>
        <w:rPr>
          <w:rFonts w:asciiTheme="minorHAnsi" w:eastAsia="Times New Roman" w:hAnsiTheme="minorHAnsi" w:cs="Arial"/>
        </w:rPr>
      </w:pPr>
      <w:r>
        <w:rPr>
          <w:rFonts w:asciiTheme="minorHAnsi" w:eastAsia="Times New Roman" w:hAnsiTheme="minorHAnsi" w:cs="Arial"/>
        </w:rPr>
        <w:br w:type="page"/>
      </w:r>
    </w:p>
    <w:p w:rsidR="00A52962" w:rsidRPr="00373C15" w:rsidRDefault="00A52962" w:rsidP="00A52962">
      <w:pPr>
        <w:spacing w:after="240"/>
        <w:jc w:val="both"/>
        <w:rPr>
          <w:rFonts w:ascii="Calibri" w:hAnsi="Calibri"/>
          <w:b/>
          <w:caps/>
          <w:u w:val="single"/>
        </w:rPr>
      </w:pPr>
      <w:r w:rsidRPr="00373C15">
        <w:rPr>
          <w:rFonts w:ascii="Calibri" w:hAnsi="Calibri"/>
          <w:b/>
          <w:caps/>
          <w:u w:val="single"/>
        </w:rPr>
        <w:t>enmienda</w:t>
      </w:r>
      <w:r>
        <w:rPr>
          <w:rFonts w:ascii="Calibri" w:hAnsi="Calibri"/>
          <w:b/>
          <w:caps/>
          <w:u w:val="single"/>
        </w:rPr>
        <w:t xml:space="preserve"> de modificación al apartado </w:t>
      </w:r>
      <w:r>
        <w:rPr>
          <w:rFonts w:ascii="Calibri" w:hAnsi="Calibri"/>
          <w:b/>
          <w:caps/>
          <w:u w:val="single"/>
        </w:rPr>
        <w:t>3</w:t>
      </w:r>
      <w:r>
        <w:rPr>
          <w:rFonts w:ascii="Calibri" w:hAnsi="Calibri"/>
          <w:b/>
          <w:caps/>
          <w:u w:val="single"/>
        </w:rPr>
        <w:t xml:space="preserve">3 bloque </w:t>
      </w:r>
      <w:r>
        <w:rPr>
          <w:rFonts w:ascii="Calibri" w:hAnsi="Calibri"/>
          <w:b/>
          <w:caps/>
          <w:u w:val="single"/>
        </w:rPr>
        <w:t>2</w:t>
      </w:r>
      <w:r>
        <w:rPr>
          <w:rFonts w:ascii="Calibri" w:hAnsi="Calibri"/>
          <w:b/>
          <w:caps/>
          <w:u w:val="single"/>
        </w:rPr>
        <w:t xml:space="preserve"> del </w:t>
      </w:r>
      <w:r w:rsidRPr="00373C15">
        <w:rPr>
          <w:rFonts w:ascii="Calibri" w:hAnsi="Calibri"/>
          <w:b/>
          <w:caps/>
          <w:u w:val="single"/>
        </w:rPr>
        <w:t xml:space="preserve"> Borrador de conclusiones del Grupo de Trabajo de la Unión Europea, creado en el seno de la Comisión para la Reconstrucción Social y Económica.</w:t>
      </w:r>
    </w:p>
    <w:p w:rsidR="00A52962" w:rsidRPr="00373C15" w:rsidRDefault="00A52962" w:rsidP="00373C15">
      <w:pPr>
        <w:jc w:val="both"/>
        <w:rPr>
          <w:rFonts w:asciiTheme="minorHAnsi" w:eastAsia="Times New Roman" w:hAnsiTheme="minorHAnsi"/>
        </w:rPr>
      </w:pPr>
      <w:r>
        <w:rPr>
          <w:rFonts w:asciiTheme="minorHAnsi" w:eastAsia="Times New Roman" w:hAnsiTheme="minorHAnsi"/>
        </w:rPr>
        <w:t>Debe decir:</w:t>
      </w:r>
    </w:p>
    <w:p w:rsidR="00373C15" w:rsidRDefault="00373C15" w:rsidP="00373C15">
      <w:pPr>
        <w:jc w:val="both"/>
        <w:rPr>
          <w:rFonts w:asciiTheme="minorHAnsi" w:eastAsia="Times New Roman" w:hAnsiTheme="minorHAnsi" w:cs="Arial"/>
        </w:rPr>
      </w:pPr>
      <w:r w:rsidRPr="00373C15">
        <w:rPr>
          <w:rFonts w:asciiTheme="minorHAnsi" w:eastAsia="Times New Roman" w:hAnsiTheme="minorHAnsi"/>
        </w:rPr>
        <w:br/>
      </w:r>
      <w:r w:rsidRPr="00373C15">
        <w:rPr>
          <w:rFonts w:asciiTheme="minorHAnsi" w:eastAsia="Times New Roman" w:hAnsiTheme="minorHAnsi" w:cs="Arial"/>
        </w:rPr>
        <w:t xml:space="preserve">“33. Evaluar el Mecanismo Europeo de Protección Civil y dotarlo de los medios y el mandato necesario para actuar eficazmente frente a futuras </w:t>
      </w:r>
      <w:r w:rsidRPr="009C19B4">
        <w:rPr>
          <w:rFonts w:asciiTheme="minorHAnsi" w:eastAsia="Times New Roman" w:hAnsiTheme="minorHAnsi" w:cs="Arial"/>
          <w:b/>
        </w:rPr>
        <w:t>catástrofes y</w:t>
      </w:r>
      <w:r w:rsidRPr="00373C15">
        <w:rPr>
          <w:rFonts w:asciiTheme="minorHAnsi" w:eastAsia="Times New Roman" w:hAnsiTheme="minorHAnsi" w:cs="Arial"/>
          <w:color w:val="E22400"/>
        </w:rPr>
        <w:t xml:space="preserve"> </w:t>
      </w:r>
      <w:r w:rsidRPr="00373C15">
        <w:rPr>
          <w:rFonts w:asciiTheme="minorHAnsi" w:eastAsia="Times New Roman" w:hAnsiTheme="minorHAnsi" w:cs="Arial"/>
        </w:rPr>
        <w:t xml:space="preserve">epidemias, </w:t>
      </w:r>
      <w:r w:rsidRPr="009C19B4">
        <w:rPr>
          <w:rFonts w:asciiTheme="minorHAnsi" w:eastAsia="Times New Roman" w:hAnsiTheme="minorHAnsi" w:cs="Arial"/>
          <w:b/>
        </w:rPr>
        <w:t>coordinando</w:t>
      </w:r>
      <w:r w:rsidRPr="00373C15">
        <w:rPr>
          <w:rFonts w:asciiTheme="minorHAnsi" w:eastAsia="Times New Roman" w:hAnsiTheme="minorHAnsi" w:cs="Arial"/>
        </w:rPr>
        <w:t xml:space="preserve"> la distribución de medicamentos, vacunas, equipamientos e insumos sanitarios entre los Estados miembros.”</w:t>
      </w:r>
    </w:p>
    <w:p w:rsidR="00A52962" w:rsidRDefault="00A52962" w:rsidP="00373C15">
      <w:pPr>
        <w:jc w:val="both"/>
        <w:rPr>
          <w:rFonts w:asciiTheme="minorHAnsi" w:eastAsia="Times New Roman" w:hAnsiTheme="minorHAnsi" w:cs="Arial"/>
        </w:rPr>
      </w:pPr>
    </w:p>
    <w:p w:rsidR="00A52962" w:rsidRDefault="00A52962">
      <w:pPr>
        <w:rPr>
          <w:rFonts w:asciiTheme="minorHAnsi" w:eastAsia="Times New Roman" w:hAnsiTheme="minorHAnsi" w:cs="Arial"/>
        </w:rPr>
      </w:pPr>
      <w:r>
        <w:rPr>
          <w:rFonts w:asciiTheme="minorHAnsi" w:eastAsia="Times New Roman" w:hAnsiTheme="minorHAnsi" w:cs="Arial"/>
        </w:rPr>
        <w:br w:type="page"/>
      </w:r>
    </w:p>
    <w:p w:rsidR="00A52962" w:rsidRPr="00373C15" w:rsidRDefault="00A52962" w:rsidP="00A52962">
      <w:pPr>
        <w:spacing w:after="240"/>
        <w:jc w:val="both"/>
        <w:rPr>
          <w:rFonts w:ascii="Calibri" w:hAnsi="Calibri"/>
          <w:b/>
          <w:caps/>
          <w:u w:val="single"/>
        </w:rPr>
      </w:pPr>
      <w:r w:rsidRPr="00373C15">
        <w:rPr>
          <w:rFonts w:ascii="Calibri" w:hAnsi="Calibri"/>
          <w:b/>
          <w:caps/>
          <w:u w:val="single"/>
        </w:rPr>
        <w:t>enmienda</w:t>
      </w:r>
      <w:r>
        <w:rPr>
          <w:rFonts w:ascii="Calibri" w:hAnsi="Calibri"/>
          <w:b/>
          <w:caps/>
          <w:u w:val="single"/>
        </w:rPr>
        <w:t xml:space="preserve"> de </w:t>
      </w:r>
      <w:r>
        <w:rPr>
          <w:rFonts w:ascii="Calibri" w:hAnsi="Calibri"/>
          <w:b/>
          <w:caps/>
          <w:u w:val="single"/>
        </w:rPr>
        <w:t>SUPRESIÓN</w:t>
      </w:r>
      <w:r>
        <w:rPr>
          <w:rFonts w:ascii="Calibri" w:hAnsi="Calibri"/>
          <w:b/>
          <w:caps/>
          <w:u w:val="single"/>
        </w:rPr>
        <w:t xml:space="preserve"> al apartado </w:t>
      </w:r>
      <w:r>
        <w:rPr>
          <w:rFonts w:ascii="Calibri" w:hAnsi="Calibri"/>
          <w:b/>
          <w:caps/>
          <w:u w:val="single"/>
        </w:rPr>
        <w:t>42</w:t>
      </w:r>
      <w:r>
        <w:rPr>
          <w:rFonts w:ascii="Calibri" w:hAnsi="Calibri"/>
          <w:b/>
          <w:caps/>
          <w:u w:val="single"/>
        </w:rPr>
        <w:t xml:space="preserve"> bloque </w:t>
      </w:r>
      <w:r>
        <w:rPr>
          <w:rFonts w:ascii="Calibri" w:hAnsi="Calibri"/>
          <w:b/>
          <w:caps/>
          <w:u w:val="single"/>
        </w:rPr>
        <w:t>2</w:t>
      </w:r>
      <w:r>
        <w:rPr>
          <w:rFonts w:ascii="Calibri" w:hAnsi="Calibri"/>
          <w:b/>
          <w:caps/>
          <w:u w:val="single"/>
        </w:rPr>
        <w:t xml:space="preserve"> del </w:t>
      </w:r>
      <w:r w:rsidRPr="00373C15">
        <w:rPr>
          <w:rFonts w:ascii="Calibri" w:hAnsi="Calibri"/>
          <w:b/>
          <w:caps/>
          <w:u w:val="single"/>
        </w:rPr>
        <w:t xml:space="preserve"> Borrador de conclusiones del Grupo de Trabajo de la Unión Europea, creado en el seno de la Comisión para la Reconstrucción Social y Económica.</w:t>
      </w:r>
    </w:p>
    <w:p w:rsidR="00A52962" w:rsidRPr="00373C15" w:rsidRDefault="00A52962" w:rsidP="00373C15">
      <w:pPr>
        <w:jc w:val="both"/>
        <w:rPr>
          <w:rFonts w:asciiTheme="minorHAnsi" w:eastAsia="Times New Roman" w:hAnsiTheme="minorHAnsi"/>
        </w:rPr>
      </w:pPr>
    </w:p>
    <w:p w:rsidR="00373C15" w:rsidRDefault="00A52962" w:rsidP="00373C15">
      <w:pPr>
        <w:jc w:val="both"/>
        <w:rPr>
          <w:rFonts w:asciiTheme="minorHAnsi" w:eastAsia="Times New Roman" w:hAnsiTheme="minorHAnsi"/>
          <w:b/>
          <w:bCs/>
        </w:rPr>
      </w:pPr>
      <w:r w:rsidRPr="00A52962">
        <w:rPr>
          <w:rFonts w:asciiTheme="minorHAnsi" w:eastAsia="Times New Roman" w:hAnsiTheme="minorHAnsi"/>
          <w:b/>
          <w:bCs/>
        </w:rPr>
        <w:t>E</w:t>
      </w:r>
      <w:r w:rsidR="00373C15" w:rsidRPr="00A52962">
        <w:rPr>
          <w:rFonts w:asciiTheme="minorHAnsi" w:eastAsia="Times New Roman" w:hAnsiTheme="minorHAnsi"/>
          <w:b/>
          <w:bCs/>
        </w:rPr>
        <w:t>l apartado 42, debe suprimirse.</w:t>
      </w:r>
    </w:p>
    <w:p w:rsidR="00A52962" w:rsidRDefault="00A52962" w:rsidP="00373C15">
      <w:pPr>
        <w:jc w:val="both"/>
        <w:rPr>
          <w:rFonts w:asciiTheme="minorHAnsi" w:eastAsia="Times New Roman" w:hAnsiTheme="minorHAnsi"/>
          <w:b/>
          <w:bCs/>
        </w:rPr>
      </w:pPr>
    </w:p>
    <w:p w:rsidR="00A52962" w:rsidRDefault="00A52962" w:rsidP="00373C15">
      <w:pPr>
        <w:jc w:val="both"/>
        <w:rPr>
          <w:rFonts w:asciiTheme="minorHAnsi" w:eastAsia="Times New Roman" w:hAnsiTheme="minorHAnsi"/>
          <w:b/>
          <w:bCs/>
        </w:rPr>
      </w:pPr>
    </w:p>
    <w:p w:rsidR="00A52962" w:rsidRDefault="00A52962" w:rsidP="00373C15">
      <w:pPr>
        <w:jc w:val="both"/>
        <w:rPr>
          <w:rFonts w:asciiTheme="minorHAnsi" w:eastAsia="Times New Roman" w:hAnsiTheme="minorHAnsi"/>
          <w:b/>
          <w:bCs/>
        </w:rPr>
      </w:pPr>
    </w:p>
    <w:p w:rsidR="00A52962" w:rsidRDefault="00A52962">
      <w:pPr>
        <w:rPr>
          <w:rFonts w:asciiTheme="minorHAnsi" w:eastAsia="Times New Roman" w:hAnsiTheme="minorHAnsi"/>
          <w:b/>
          <w:bCs/>
        </w:rPr>
      </w:pPr>
      <w:r>
        <w:rPr>
          <w:rFonts w:asciiTheme="minorHAnsi" w:eastAsia="Times New Roman" w:hAnsiTheme="minorHAnsi"/>
          <w:b/>
          <w:bCs/>
        </w:rPr>
        <w:br w:type="page"/>
      </w:r>
    </w:p>
    <w:p w:rsidR="00A52962" w:rsidRPr="00373C15" w:rsidRDefault="00A52962" w:rsidP="00A52962">
      <w:pPr>
        <w:spacing w:after="240"/>
        <w:jc w:val="both"/>
        <w:rPr>
          <w:rFonts w:ascii="Calibri" w:hAnsi="Calibri"/>
          <w:b/>
          <w:caps/>
          <w:u w:val="single"/>
        </w:rPr>
      </w:pPr>
      <w:r w:rsidRPr="00373C15">
        <w:rPr>
          <w:rFonts w:ascii="Calibri" w:hAnsi="Calibri"/>
          <w:b/>
          <w:caps/>
          <w:u w:val="single"/>
        </w:rPr>
        <w:t>enmienda</w:t>
      </w:r>
      <w:r>
        <w:rPr>
          <w:rFonts w:ascii="Calibri" w:hAnsi="Calibri"/>
          <w:b/>
          <w:caps/>
          <w:u w:val="single"/>
        </w:rPr>
        <w:t xml:space="preserve"> de modificación al bloque </w:t>
      </w:r>
      <w:r>
        <w:rPr>
          <w:rFonts w:ascii="Calibri" w:hAnsi="Calibri"/>
          <w:b/>
          <w:caps/>
          <w:u w:val="single"/>
        </w:rPr>
        <w:t>3</w:t>
      </w:r>
      <w:r>
        <w:rPr>
          <w:rFonts w:ascii="Calibri" w:hAnsi="Calibri"/>
          <w:b/>
          <w:caps/>
          <w:u w:val="single"/>
        </w:rPr>
        <w:t xml:space="preserve"> del </w:t>
      </w:r>
      <w:r w:rsidRPr="00373C15">
        <w:rPr>
          <w:rFonts w:ascii="Calibri" w:hAnsi="Calibri"/>
          <w:b/>
          <w:caps/>
          <w:u w:val="single"/>
        </w:rPr>
        <w:t xml:space="preserve"> Borrador de conclusiones del Grupo de Trabajo de la Unión Europea, creado en el seno de la Comisión para la Reconstrucción Social y Económica.</w:t>
      </w:r>
    </w:p>
    <w:p w:rsidR="00A52962" w:rsidRPr="00A52962" w:rsidRDefault="00A52962" w:rsidP="00373C15">
      <w:pPr>
        <w:jc w:val="both"/>
        <w:rPr>
          <w:rFonts w:asciiTheme="minorHAnsi" w:eastAsia="Times New Roman" w:hAnsiTheme="minorHAnsi"/>
        </w:rPr>
      </w:pPr>
    </w:p>
    <w:p w:rsidR="00373C15" w:rsidRPr="00373C15" w:rsidRDefault="00373C15" w:rsidP="00373C15">
      <w:pPr>
        <w:jc w:val="both"/>
        <w:rPr>
          <w:rFonts w:asciiTheme="minorHAnsi" w:eastAsia="Times New Roman" w:hAnsiTheme="minorHAnsi"/>
        </w:rPr>
      </w:pPr>
    </w:p>
    <w:p w:rsidR="00373C15" w:rsidRDefault="009C19B4" w:rsidP="00373C15">
      <w:pPr>
        <w:jc w:val="both"/>
        <w:rPr>
          <w:rFonts w:asciiTheme="minorHAnsi" w:eastAsia="Times New Roman" w:hAnsiTheme="minorHAnsi"/>
          <w:b/>
          <w:bCs/>
        </w:rPr>
      </w:pPr>
      <w:r>
        <w:rPr>
          <w:rFonts w:asciiTheme="minorHAnsi" w:eastAsia="Times New Roman" w:hAnsiTheme="minorHAnsi"/>
          <w:b/>
          <w:bCs/>
        </w:rPr>
        <w:t>L</w:t>
      </w:r>
      <w:r w:rsidR="00373C15" w:rsidRPr="00A52962">
        <w:rPr>
          <w:rFonts w:asciiTheme="minorHAnsi" w:eastAsia="Times New Roman" w:hAnsiTheme="minorHAnsi"/>
          <w:b/>
          <w:bCs/>
        </w:rPr>
        <w:t>os apartados 45, 49, 50, 51, 52, 53 y 54, deben pasar al BLOQUE 2.</w:t>
      </w:r>
    </w:p>
    <w:p w:rsidR="00A52962" w:rsidRDefault="00A52962" w:rsidP="00373C15">
      <w:pPr>
        <w:jc w:val="both"/>
        <w:rPr>
          <w:rFonts w:asciiTheme="minorHAnsi" w:eastAsia="Times New Roman" w:hAnsiTheme="minorHAnsi"/>
          <w:b/>
          <w:bCs/>
        </w:rPr>
      </w:pPr>
    </w:p>
    <w:p w:rsidR="00A52962" w:rsidRDefault="00A52962">
      <w:pPr>
        <w:rPr>
          <w:rFonts w:asciiTheme="minorHAnsi" w:eastAsia="Times New Roman" w:hAnsiTheme="minorHAnsi"/>
          <w:b/>
          <w:bCs/>
        </w:rPr>
      </w:pPr>
      <w:r>
        <w:rPr>
          <w:rFonts w:asciiTheme="minorHAnsi" w:eastAsia="Times New Roman" w:hAnsiTheme="minorHAnsi"/>
          <w:b/>
          <w:bCs/>
        </w:rPr>
        <w:br w:type="page"/>
      </w:r>
    </w:p>
    <w:p w:rsidR="00A52962" w:rsidRPr="00A52962" w:rsidRDefault="00A52962" w:rsidP="00373C15">
      <w:pPr>
        <w:jc w:val="both"/>
        <w:rPr>
          <w:rFonts w:asciiTheme="minorHAnsi" w:eastAsia="Times New Roman" w:hAnsiTheme="minorHAnsi"/>
        </w:rPr>
      </w:pPr>
    </w:p>
    <w:p w:rsidR="00A52962" w:rsidRPr="00373C15" w:rsidRDefault="00A52962" w:rsidP="00A52962">
      <w:pPr>
        <w:spacing w:after="240"/>
        <w:jc w:val="both"/>
        <w:rPr>
          <w:rFonts w:ascii="Calibri" w:hAnsi="Calibri"/>
          <w:b/>
          <w:caps/>
          <w:u w:val="single"/>
        </w:rPr>
      </w:pPr>
      <w:r w:rsidRPr="00373C15">
        <w:rPr>
          <w:rFonts w:ascii="Calibri" w:hAnsi="Calibri"/>
          <w:b/>
          <w:caps/>
          <w:u w:val="single"/>
        </w:rPr>
        <w:t>enmienda</w:t>
      </w:r>
      <w:r>
        <w:rPr>
          <w:rFonts w:ascii="Calibri" w:hAnsi="Calibri"/>
          <w:b/>
          <w:caps/>
          <w:u w:val="single"/>
        </w:rPr>
        <w:t xml:space="preserve"> de modificación al apartado </w:t>
      </w:r>
      <w:r>
        <w:rPr>
          <w:rFonts w:ascii="Calibri" w:hAnsi="Calibri"/>
          <w:b/>
          <w:caps/>
          <w:u w:val="single"/>
        </w:rPr>
        <w:t>55</w:t>
      </w:r>
      <w:r>
        <w:rPr>
          <w:rFonts w:ascii="Calibri" w:hAnsi="Calibri"/>
          <w:b/>
          <w:caps/>
          <w:u w:val="single"/>
        </w:rPr>
        <w:t xml:space="preserve"> bloque </w:t>
      </w:r>
      <w:r>
        <w:rPr>
          <w:rFonts w:ascii="Calibri" w:hAnsi="Calibri"/>
          <w:b/>
          <w:caps/>
          <w:u w:val="single"/>
        </w:rPr>
        <w:t>3</w:t>
      </w:r>
      <w:r>
        <w:rPr>
          <w:rFonts w:ascii="Calibri" w:hAnsi="Calibri"/>
          <w:b/>
          <w:caps/>
          <w:u w:val="single"/>
        </w:rPr>
        <w:t xml:space="preserve"> del </w:t>
      </w:r>
      <w:r w:rsidRPr="00373C15">
        <w:rPr>
          <w:rFonts w:ascii="Calibri" w:hAnsi="Calibri"/>
          <w:b/>
          <w:caps/>
          <w:u w:val="single"/>
        </w:rPr>
        <w:t xml:space="preserve"> Borrador de conclusiones del Grupo de Trabajo de la Unión Europea, creado en el seno de la Comisión para la Reconstrucción Social y Económica.</w:t>
      </w:r>
    </w:p>
    <w:p w:rsidR="00373C15" w:rsidRPr="00373C15" w:rsidRDefault="00373C15" w:rsidP="00373C15">
      <w:pPr>
        <w:jc w:val="both"/>
        <w:rPr>
          <w:rFonts w:asciiTheme="minorHAnsi" w:eastAsia="Times New Roman" w:hAnsiTheme="minorHAnsi"/>
        </w:rPr>
      </w:pPr>
    </w:p>
    <w:p w:rsidR="00373C15" w:rsidRPr="009C19B4" w:rsidRDefault="00A52962" w:rsidP="00373C15">
      <w:pPr>
        <w:jc w:val="both"/>
        <w:rPr>
          <w:rFonts w:asciiTheme="minorHAnsi" w:eastAsia="Times New Roman" w:hAnsiTheme="minorHAnsi"/>
          <w:bCs/>
        </w:rPr>
      </w:pPr>
      <w:r w:rsidRPr="009C19B4">
        <w:rPr>
          <w:rFonts w:asciiTheme="minorHAnsi" w:eastAsia="Times New Roman" w:hAnsiTheme="minorHAnsi"/>
          <w:bCs/>
        </w:rPr>
        <w:t>D</w:t>
      </w:r>
      <w:r w:rsidR="00373C15" w:rsidRPr="009C19B4">
        <w:rPr>
          <w:rFonts w:asciiTheme="minorHAnsi" w:eastAsia="Times New Roman" w:hAnsiTheme="minorHAnsi"/>
          <w:bCs/>
        </w:rPr>
        <w:t>ebe decir:</w:t>
      </w:r>
    </w:p>
    <w:p w:rsidR="00A52962" w:rsidRPr="00373C15" w:rsidRDefault="00A52962" w:rsidP="00373C15">
      <w:pPr>
        <w:jc w:val="both"/>
        <w:rPr>
          <w:rFonts w:asciiTheme="minorHAnsi" w:eastAsia="Times New Roman" w:hAnsiTheme="minorHAnsi"/>
        </w:rPr>
      </w:pPr>
    </w:p>
    <w:p w:rsidR="00373C15" w:rsidRPr="009C19B4" w:rsidRDefault="00373C15" w:rsidP="00373C15">
      <w:pPr>
        <w:jc w:val="both"/>
        <w:rPr>
          <w:rFonts w:asciiTheme="minorHAnsi" w:eastAsia="Times New Roman" w:hAnsiTheme="minorHAnsi" w:cs="Arial"/>
          <w:b/>
        </w:rPr>
      </w:pPr>
      <w:r w:rsidRPr="00373C15">
        <w:rPr>
          <w:rFonts w:asciiTheme="minorHAnsi" w:eastAsia="Times New Roman" w:hAnsiTheme="minorHAnsi"/>
        </w:rPr>
        <w:lastRenderedPageBreak/>
        <w:t>“55. </w:t>
      </w:r>
      <w:r w:rsidRPr="00373C15">
        <w:rPr>
          <w:rFonts w:asciiTheme="minorHAnsi" w:eastAsia="Times New Roman" w:hAnsiTheme="minorHAnsi" w:cs="Arial"/>
        </w:rPr>
        <w:t xml:space="preserve">Alcanzar un acuerdo UE-Reino Unido que evite los efectos más perniciosos de la salida del Reino Unido del Mercado Interior y de la Unión Aduanera y que refleje los intereses de España en su relación con el Reino Unido, </w:t>
      </w:r>
      <w:r w:rsidRPr="009C19B4">
        <w:rPr>
          <w:rFonts w:asciiTheme="minorHAnsi" w:eastAsia="Times New Roman" w:hAnsiTheme="minorHAnsi" w:cs="Arial"/>
          <w:b/>
        </w:rPr>
        <w:t>singularmente por sus efectos en el turismo y en la actividad económica de la fachada atlántica peninsular como, entre otras, la aeronáutica, la automoción, el sector agro alimentario y pesquero, la actividad marítima, portuaria y aeroportuaria. A tal efecto, dichos impactos deberán ser tenidos en cuenta en el ámbito de las políticas de cohesión por el Nuevo Marco Financiero Plurianual (2021-2027).”</w:t>
      </w:r>
    </w:p>
    <w:p w:rsidR="00A52962" w:rsidRDefault="00A52962">
      <w:pPr>
        <w:rPr>
          <w:rFonts w:asciiTheme="minorHAnsi" w:eastAsia="Times New Roman" w:hAnsiTheme="minorHAnsi" w:cs="Arial"/>
          <w:color w:val="E22400"/>
        </w:rPr>
      </w:pPr>
      <w:r>
        <w:rPr>
          <w:rFonts w:asciiTheme="minorHAnsi" w:eastAsia="Times New Roman" w:hAnsiTheme="minorHAnsi" w:cs="Arial"/>
          <w:color w:val="E22400"/>
        </w:rPr>
        <w:br w:type="page"/>
      </w:r>
    </w:p>
    <w:p w:rsidR="00A52962" w:rsidRPr="00373C15" w:rsidRDefault="00A52962" w:rsidP="00A52962">
      <w:pPr>
        <w:spacing w:after="240"/>
        <w:jc w:val="both"/>
        <w:rPr>
          <w:rFonts w:ascii="Calibri" w:hAnsi="Calibri"/>
          <w:b/>
          <w:caps/>
          <w:u w:val="single"/>
        </w:rPr>
      </w:pPr>
      <w:r w:rsidRPr="00373C15">
        <w:rPr>
          <w:rFonts w:ascii="Calibri" w:hAnsi="Calibri"/>
          <w:b/>
          <w:caps/>
          <w:u w:val="single"/>
        </w:rPr>
        <w:t>enmienda</w:t>
      </w:r>
      <w:r>
        <w:rPr>
          <w:rFonts w:ascii="Calibri" w:hAnsi="Calibri"/>
          <w:b/>
          <w:caps/>
          <w:u w:val="single"/>
        </w:rPr>
        <w:t xml:space="preserve"> de modificación al apartado </w:t>
      </w:r>
      <w:r>
        <w:rPr>
          <w:rFonts w:ascii="Calibri" w:hAnsi="Calibri"/>
          <w:b/>
          <w:caps/>
          <w:u w:val="single"/>
        </w:rPr>
        <w:t>62</w:t>
      </w:r>
      <w:r>
        <w:rPr>
          <w:rFonts w:ascii="Calibri" w:hAnsi="Calibri"/>
          <w:b/>
          <w:caps/>
          <w:u w:val="single"/>
        </w:rPr>
        <w:t xml:space="preserve"> bloque </w:t>
      </w:r>
      <w:r>
        <w:rPr>
          <w:rFonts w:ascii="Calibri" w:hAnsi="Calibri"/>
          <w:b/>
          <w:caps/>
          <w:u w:val="single"/>
        </w:rPr>
        <w:t>3</w:t>
      </w:r>
      <w:r>
        <w:rPr>
          <w:rFonts w:ascii="Calibri" w:hAnsi="Calibri"/>
          <w:b/>
          <w:caps/>
          <w:u w:val="single"/>
        </w:rPr>
        <w:t xml:space="preserve"> del </w:t>
      </w:r>
      <w:r w:rsidRPr="00373C15">
        <w:rPr>
          <w:rFonts w:ascii="Calibri" w:hAnsi="Calibri"/>
          <w:b/>
          <w:caps/>
          <w:u w:val="single"/>
        </w:rPr>
        <w:t xml:space="preserve"> Borrador de conclusiones del Grupo de Trabajo de la Unión Europea, creado en el seno de la Comisión para la Reconstrucción Social y Económica.</w:t>
      </w:r>
    </w:p>
    <w:p w:rsidR="00373C15" w:rsidRPr="00373C15" w:rsidRDefault="00373C15" w:rsidP="00373C15">
      <w:pPr>
        <w:jc w:val="both"/>
        <w:rPr>
          <w:rFonts w:asciiTheme="minorHAnsi" w:eastAsia="Times New Roman" w:hAnsiTheme="minorHAnsi"/>
        </w:rPr>
      </w:pPr>
    </w:p>
    <w:p w:rsidR="00373C15" w:rsidRDefault="00A52962" w:rsidP="00373C15">
      <w:pPr>
        <w:jc w:val="both"/>
        <w:rPr>
          <w:rFonts w:asciiTheme="minorHAnsi" w:eastAsia="Times New Roman" w:hAnsiTheme="minorHAnsi"/>
          <w:bCs/>
        </w:rPr>
      </w:pPr>
      <w:r w:rsidRPr="00A52962">
        <w:rPr>
          <w:rFonts w:asciiTheme="minorHAnsi" w:eastAsia="Times New Roman" w:hAnsiTheme="minorHAnsi"/>
          <w:bCs/>
        </w:rPr>
        <w:t>D</w:t>
      </w:r>
      <w:r w:rsidR="00373C15" w:rsidRPr="00A52962">
        <w:rPr>
          <w:rFonts w:asciiTheme="minorHAnsi" w:eastAsia="Times New Roman" w:hAnsiTheme="minorHAnsi"/>
          <w:bCs/>
        </w:rPr>
        <w:t>ebe decir:</w:t>
      </w:r>
    </w:p>
    <w:p w:rsidR="00A52962" w:rsidRPr="00A52962" w:rsidRDefault="00A52962" w:rsidP="00373C15">
      <w:pPr>
        <w:jc w:val="both"/>
        <w:rPr>
          <w:rFonts w:asciiTheme="minorHAnsi" w:eastAsia="Times New Roman" w:hAnsiTheme="minorHAnsi"/>
        </w:rPr>
      </w:pPr>
    </w:p>
    <w:p w:rsidR="00373C15" w:rsidRPr="00373C15" w:rsidRDefault="00373C15" w:rsidP="00373C15">
      <w:pPr>
        <w:jc w:val="both"/>
        <w:rPr>
          <w:rFonts w:asciiTheme="minorHAnsi" w:eastAsia="Times New Roman" w:hAnsiTheme="minorHAnsi"/>
        </w:rPr>
      </w:pPr>
      <w:r w:rsidRPr="00373C15">
        <w:rPr>
          <w:rFonts w:asciiTheme="minorHAnsi" w:eastAsia="Times New Roman" w:hAnsiTheme="minorHAnsi"/>
        </w:rPr>
        <w:t>“62. </w:t>
      </w:r>
      <w:r w:rsidRPr="00373C15">
        <w:rPr>
          <w:rFonts w:asciiTheme="minorHAnsi" w:eastAsia="Times New Roman" w:hAnsiTheme="minorHAnsi" w:cs="Arial"/>
        </w:rPr>
        <w:t xml:space="preserve">Potenciar el aprendizaje de las lenguas europeas </w:t>
      </w:r>
      <w:r w:rsidRPr="009C19B4">
        <w:rPr>
          <w:rFonts w:asciiTheme="minorHAnsi" w:eastAsia="Times New Roman" w:hAnsiTheme="minorHAnsi" w:cs="Arial"/>
          <w:b/>
        </w:rPr>
        <w:t>oficiales y cooficiales</w:t>
      </w:r>
      <w:r w:rsidRPr="009C19B4">
        <w:rPr>
          <w:rFonts w:asciiTheme="minorHAnsi" w:eastAsia="Times New Roman" w:hAnsiTheme="minorHAnsi" w:cs="Arial"/>
        </w:rPr>
        <w:t xml:space="preserve"> </w:t>
      </w:r>
      <w:r w:rsidRPr="00373C15">
        <w:rPr>
          <w:rFonts w:asciiTheme="minorHAnsi" w:eastAsia="Times New Roman" w:hAnsiTheme="minorHAnsi" w:cs="Arial"/>
        </w:rPr>
        <w:t xml:space="preserve">en el sistema educativo a todos los niveles como mecanismo de integración y herramienta de formación del sentimiento de ciudadanía europea, </w:t>
      </w:r>
      <w:r w:rsidRPr="009C19B4">
        <w:rPr>
          <w:rFonts w:asciiTheme="minorHAnsi" w:eastAsia="Times New Roman" w:hAnsiTheme="minorHAnsi" w:cs="Arial"/>
          <w:b/>
        </w:rPr>
        <w:t>así como para garantizar el cumplimiento de la Carta Europea de Lenguas Minoritarias suscrito por España.”</w:t>
      </w:r>
    </w:p>
    <w:p w:rsidR="00A52962" w:rsidRDefault="00373C15" w:rsidP="00373C15">
      <w:pPr>
        <w:jc w:val="both"/>
        <w:rPr>
          <w:rFonts w:asciiTheme="minorHAnsi" w:eastAsia="Times New Roman" w:hAnsiTheme="minorHAnsi"/>
        </w:rPr>
      </w:pPr>
      <w:r w:rsidRPr="00373C15">
        <w:rPr>
          <w:rFonts w:asciiTheme="minorHAnsi" w:eastAsia="Times New Roman" w:hAnsiTheme="minorHAnsi"/>
        </w:rPr>
        <w:br/>
      </w:r>
    </w:p>
    <w:p w:rsidR="00A52962" w:rsidRDefault="00A52962">
      <w:pPr>
        <w:rPr>
          <w:rFonts w:asciiTheme="minorHAnsi" w:eastAsia="Times New Roman" w:hAnsiTheme="minorHAnsi"/>
        </w:rPr>
      </w:pPr>
      <w:r>
        <w:rPr>
          <w:rFonts w:asciiTheme="minorHAnsi" w:eastAsia="Times New Roman" w:hAnsiTheme="minorHAnsi"/>
        </w:rPr>
        <w:br w:type="page"/>
      </w:r>
    </w:p>
    <w:p w:rsidR="00A52962" w:rsidRPr="00373C15" w:rsidRDefault="00A52962" w:rsidP="00A52962">
      <w:pPr>
        <w:spacing w:after="240"/>
        <w:jc w:val="both"/>
        <w:rPr>
          <w:rFonts w:ascii="Calibri" w:hAnsi="Calibri"/>
          <w:b/>
          <w:caps/>
          <w:u w:val="single"/>
        </w:rPr>
      </w:pPr>
      <w:r w:rsidRPr="00373C15">
        <w:rPr>
          <w:rFonts w:ascii="Calibri" w:hAnsi="Calibri"/>
          <w:b/>
          <w:caps/>
          <w:u w:val="single"/>
        </w:rPr>
        <w:t>enmienda</w:t>
      </w:r>
      <w:r>
        <w:rPr>
          <w:rFonts w:ascii="Calibri" w:hAnsi="Calibri"/>
          <w:b/>
          <w:caps/>
          <w:u w:val="single"/>
        </w:rPr>
        <w:t xml:space="preserve"> de </w:t>
      </w:r>
      <w:r>
        <w:rPr>
          <w:rFonts w:ascii="Calibri" w:hAnsi="Calibri"/>
          <w:b/>
          <w:caps/>
          <w:u w:val="single"/>
        </w:rPr>
        <w:t xml:space="preserve">ADICIÓN DE UN NUEVO APARTADO </w:t>
      </w:r>
      <w:r w:rsidR="005B11AD">
        <w:rPr>
          <w:rFonts w:ascii="Calibri" w:hAnsi="Calibri"/>
          <w:b/>
          <w:caps/>
          <w:u w:val="single"/>
        </w:rPr>
        <w:t>2</w:t>
      </w:r>
      <w:r>
        <w:rPr>
          <w:rFonts w:ascii="Calibri" w:hAnsi="Calibri"/>
          <w:b/>
          <w:caps/>
          <w:u w:val="single"/>
        </w:rPr>
        <w:t xml:space="preserve"> BIS, BLOQUE 3, </w:t>
      </w:r>
      <w:r>
        <w:rPr>
          <w:rFonts w:ascii="Calibri" w:hAnsi="Calibri"/>
          <w:b/>
          <w:caps/>
          <w:u w:val="single"/>
        </w:rPr>
        <w:t xml:space="preserve"> </w:t>
      </w:r>
      <w:r>
        <w:rPr>
          <w:rFonts w:ascii="Calibri" w:hAnsi="Calibri"/>
          <w:b/>
          <w:caps/>
          <w:u w:val="single"/>
        </w:rPr>
        <w:t>A</w:t>
      </w:r>
      <w:r>
        <w:rPr>
          <w:rFonts w:ascii="Calibri" w:hAnsi="Calibri"/>
          <w:b/>
          <w:caps/>
          <w:u w:val="single"/>
        </w:rPr>
        <w:t xml:space="preserve">l </w:t>
      </w:r>
      <w:r w:rsidRPr="00373C15">
        <w:rPr>
          <w:rFonts w:ascii="Calibri" w:hAnsi="Calibri"/>
          <w:b/>
          <w:caps/>
          <w:u w:val="single"/>
        </w:rPr>
        <w:t xml:space="preserve"> Borrador de conclusiones del Grupo de Trabajo de la Unión Europea, creado en el seno de la Comisión para la Reconstrucción Social y Económica.</w:t>
      </w:r>
    </w:p>
    <w:p w:rsidR="00373C15" w:rsidRPr="00373C15" w:rsidRDefault="00373C15" w:rsidP="00373C15">
      <w:pPr>
        <w:jc w:val="both"/>
        <w:rPr>
          <w:rFonts w:asciiTheme="minorHAnsi" w:eastAsia="Times New Roman" w:hAnsiTheme="minorHAnsi" w:cs="Arial"/>
        </w:rPr>
      </w:pPr>
    </w:p>
    <w:p w:rsidR="00373C15" w:rsidRDefault="00A52962" w:rsidP="00373C15">
      <w:pPr>
        <w:jc w:val="both"/>
        <w:rPr>
          <w:rFonts w:asciiTheme="minorHAnsi" w:eastAsia="Times New Roman" w:hAnsiTheme="minorHAnsi"/>
          <w:b/>
          <w:bCs/>
        </w:rPr>
      </w:pPr>
      <w:r w:rsidRPr="00A52962">
        <w:rPr>
          <w:rFonts w:asciiTheme="minorHAnsi" w:eastAsia="Times New Roman" w:hAnsiTheme="minorHAnsi"/>
          <w:b/>
          <w:bCs/>
        </w:rPr>
        <w:t>D</w:t>
      </w:r>
      <w:r w:rsidR="00373C15" w:rsidRPr="00A52962">
        <w:rPr>
          <w:rFonts w:asciiTheme="minorHAnsi" w:eastAsia="Times New Roman" w:hAnsiTheme="minorHAnsi"/>
          <w:b/>
          <w:bCs/>
        </w:rPr>
        <w:t>e adición de un nuevo apartad</w:t>
      </w:r>
      <w:r w:rsidR="005B11AD">
        <w:rPr>
          <w:rFonts w:asciiTheme="minorHAnsi" w:eastAsia="Times New Roman" w:hAnsiTheme="minorHAnsi"/>
          <w:b/>
          <w:bCs/>
        </w:rPr>
        <w:t xml:space="preserve">o 2 </w:t>
      </w:r>
      <w:proofErr w:type="gramStart"/>
      <w:r w:rsidR="005B11AD">
        <w:rPr>
          <w:rFonts w:asciiTheme="minorHAnsi" w:eastAsia="Times New Roman" w:hAnsiTheme="minorHAnsi"/>
          <w:b/>
          <w:bCs/>
        </w:rPr>
        <w:t>b</w:t>
      </w:r>
      <w:r w:rsidR="00373C15" w:rsidRPr="00A52962">
        <w:rPr>
          <w:rFonts w:asciiTheme="minorHAnsi" w:eastAsia="Times New Roman" w:hAnsiTheme="minorHAnsi"/>
          <w:b/>
          <w:bCs/>
        </w:rPr>
        <w:t>is</w:t>
      </w:r>
      <w:proofErr w:type="gramEnd"/>
      <w:r w:rsidR="00373C15" w:rsidRPr="00A52962">
        <w:rPr>
          <w:rFonts w:asciiTheme="minorHAnsi" w:eastAsia="Times New Roman" w:hAnsiTheme="minorHAnsi"/>
          <w:b/>
          <w:bCs/>
        </w:rPr>
        <w:t>, con el siguiente texto:</w:t>
      </w:r>
    </w:p>
    <w:p w:rsidR="00A52962" w:rsidRPr="00A52962" w:rsidRDefault="00A52962" w:rsidP="00373C15">
      <w:pPr>
        <w:jc w:val="both"/>
        <w:rPr>
          <w:rFonts w:asciiTheme="minorHAnsi" w:eastAsia="Times New Roman" w:hAnsiTheme="minorHAnsi"/>
        </w:rPr>
      </w:pPr>
    </w:p>
    <w:p w:rsidR="00373C15" w:rsidRPr="009C19B4" w:rsidRDefault="005B11AD" w:rsidP="00373C15">
      <w:pPr>
        <w:jc w:val="both"/>
        <w:rPr>
          <w:rFonts w:asciiTheme="minorHAnsi" w:eastAsia="Times New Roman" w:hAnsiTheme="minorHAnsi" w:cs="Arial"/>
          <w:b/>
        </w:rPr>
      </w:pPr>
      <w:r>
        <w:rPr>
          <w:rFonts w:asciiTheme="minorHAnsi" w:eastAsia="Times New Roman" w:hAnsiTheme="minorHAnsi" w:cs="Arial"/>
          <w:b/>
        </w:rPr>
        <w:t>“2</w:t>
      </w:r>
      <w:r w:rsidR="00373C15" w:rsidRPr="009C19B4">
        <w:rPr>
          <w:rFonts w:asciiTheme="minorHAnsi" w:eastAsia="Times New Roman" w:hAnsiTheme="minorHAnsi" w:cs="Arial"/>
          <w:b/>
        </w:rPr>
        <w:t xml:space="preserve"> </w:t>
      </w:r>
      <w:proofErr w:type="gramStart"/>
      <w:r w:rsidR="00373C15" w:rsidRPr="009C19B4">
        <w:rPr>
          <w:rFonts w:asciiTheme="minorHAnsi" w:eastAsia="Times New Roman" w:hAnsiTheme="minorHAnsi" w:cs="Arial"/>
          <w:b/>
        </w:rPr>
        <w:t>bis.</w:t>
      </w:r>
      <w:proofErr w:type="gramEnd"/>
      <w:r w:rsidR="00373C15" w:rsidRPr="009C19B4">
        <w:rPr>
          <w:rFonts w:asciiTheme="minorHAnsi" w:eastAsia="Times New Roman" w:hAnsiTheme="minorHAnsi" w:cs="Arial"/>
          <w:b/>
        </w:rPr>
        <w:t xml:space="preserve"> Las Comunidades Autónomas contribuyen con su actividad al desarrollo y al buen funcionamiento de las relaciones institucionales entre los diferentes niveles de gobierno en que se articula la </w:t>
      </w:r>
      <w:r w:rsidR="00A52962" w:rsidRPr="009C19B4">
        <w:rPr>
          <w:rFonts w:asciiTheme="minorHAnsi" w:eastAsia="Times New Roman" w:hAnsiTheme="minorHAnsi" w:cs="Arial"/>
          <w:b/>
        </w:rPr>
        <w:t>UE</w:t>
      </w:r>
      <w:r w:rsidR="00373C15" w:rsidRPr="009C19B4">
        <w:rPr>
          <w:rFonts w:asciiTheme="minorHAnsi" w:eastAsia="Times New Roman" w:hAnsiTheme="minorHAnsi" w:cs="Arial"/>
          <w:b/>
        </w:rPr>
        <w:t xml:space="preserve"> y al fortalecimiento del proyecto político de integración de esta. Ello es singularmente importante en el momento presente por estar llamada la Unión con sus políticas a jugar un papel relevante en la superación de los efectos económicos y sociales de la pandemia producida por el Covid-19, y en el establecimiento de mecanismos que ayuden a neutralizar, superar y paliar sucesos sanitarios futuros iguales o similares al que hoy sufrimos</w:t>
      </w:r>
      <w:r w:rsidR="009C19B4">
        <w:rPr>
          <w:rFonts w:asciiTheme="minorHAnsi" w:eastAsia="Times New Roman" w:hAnsiTheme="minorHAnsi" w:cs="Arial"/>
          <w:b/>
        </w:rPr>
        <w:t>”</w:t>
      </w:r>
      <w:r w:rsidR="00373C15" w:rsidRPr="009C19B4">
        <w:rPr>
          <w:rFonts w:asciiTheme="minorHAnsi" w:eastAsia="Times New Roman" w:hAnsiTheme="minorHAnsi" w:cs="Arial"/>
          <w:b/>
        </w:rPr>
        <w:t>. </w:t>
      </w:r>
    </w:p>
    <w:p w:rsidR="00A52962" w:rsidRDefault="00A52962">
      <w:pPr>
        <w:rPr>
          <w:rFonts w:asciiTheme="minorHAnsi" w:eastAsia="Times New Roman" w:hAnsiTheme="minorHAnsi" w:cs="Arial"/>
          <w:color w:val="E22400"/>
        </w:rPr>
      </w:pPr>
      <w:r>
        <w:rPr>
          <w:rFonts w:asciiTheme="minorHAnsi" w:eastAsia="Times New Roman" w:hAnsiTheme="minorHAnsi" w:cs="Arial"/>
          <w:color w:val="E22400"/>
        </w:rPr>
        <w:br w:type="page"/>
      </w:r>
    </w:p>
    <w:p w:rsidR="00A52962" w:rsidRPr="00373C15" w:rsidRDefault="00A52962" w:rsidP="00A52962">
      <w:pPr>
        <w:spacing w:after="240"/>
        <w:jc w:val="both"/>
        <w:rPr>
          <w:rFonts w:ascii="Calibri" w:hAnsi="Calibri"/>
          <w:b/>
          <w:caps/>
          <w:u w:val="single"/>
        </w:rPr>
      </w:pPr>
      <w:r w:rsidRPr="00373C15">
        <w:rPr>
          <w:rFonts w:ascii="Calibri" w:hAnsi="Calibri"/>
          <w:b/>
          <w:caps/>
          <w:u w:val="single"/>
        </w:rPr>
        <w:t>enmienda</w:t>
      </w:r>
      <w:r>
        <w:rPr>
          <w:rFonts w:ascii="Calibri" w:hAnsi="Calibri"/>
          <w:b/>
          <w:caps/>
          <w:u w:val="single"/>
        </w:rPr>
        <w:t xml:space="preserve"> de modificación al apartado </w:t>
      </w:r>
      <w:r>
        <w:rPr>
          <w:rFonts w:ascii="Calibri" w:hAnsi="Calibri"/>
          <w:b/>
          <w:caps/>
          <w:u w:val="single"/>
        </w:rPr>
        <w:t>65 DEL</w:t>
      </w:r>
      <w:r>
        <w:rPr>
          <w:rFonts w:ascii="Calibri" w:hAnsi="Calibri"/>
          <w:b/>
          <w:caps/>
          <w:u w:val="single"/>
        </w:rPr>
        <w:t xml:space="preserve"> bloque </w:t>
      </w:r>
      <w:r>
        <w:rPr>
          <w:rFonts w:ascii="Calibri" w:hAnsi="Calibri"/>
          <w:b/>
          <w:caps/>
          <w:u w:val="single"/>
        </w:rPr>
        <w:t>3</w:t>
      </w:r>
      <w:r>
        <w:rPr>
          <w:rFonts w:ascii="Calibri" w:hAnsi="Calibri"/>
          <w:b/>
          <w:caps/>
          <w:u w:val="single"/>
        </w:rPr>
        <w:t xml:space="preserve"> del </w:t>
      </w:r>
      <w:r w:rsidRPr="00373C15">
        <w:rPr>
          <w:rFonts w:ascii="Calibri" w:hAnsi="Calibri"/>
          <w:b/>
          <w:caps/>
          <w:u w:val="single"/>
        </w:rPr>
        <w:t xml:space="preserve"> Borrador de conclusiones del Grupo de Trabajo de la Unión Europea, creado en el seno de la Comisión para la Reconstrucción Social y Económica.</w:t>
      </w:r>
    </w:p>
    <w:p w:rsidR="00A52962" w:rsidRPr="00373C15" w:rsidRDefault="00A52962" w:rsidP="00373C15">
      <w:pPr>
        <w:jc w:val="both"/>
        <w:rPr>
          <w:rFonts w:asciiTheme="minorHAnsi" w:eastAsia="Times New Roman" w:hAnsiTheme="minorHAnsi"/>
        </w:rPr>
      </w:pPr>
    </w:p>
    <w:p w:rsidR="00373C15" w:rsidRPr="009C19B4" w:rsidRDefault="00A52962" w:rsidP="00373C15">
      <w:pPr>
        <w:jc w:val="both"/>
        <w:rPr>
          <w:rFonts w:asciiTheme="minorHAnsi" w:eastAsia="Times New Roman" w:hAnsiTheme="minorHAnsi"/>
          <w:bCs/>
        </w:rPr>
      </w:pPr>
      <w:r w:rsidRPr="009C19B4">
        <w:rPr>
          <w:rFonts w:asciiTheme="minorHAnsi" w:eastAsia="Times New Roman" w:hAnsiTheme="minorHAnsi"/>
          <w:bCs/>
        </w:rPr>
        <w:t>D</w:t>
      </w:r>
      <w:r w:rsidR="00373C15" w:rsidRPr="009C19B4">
        <w:rPr>
          <w:rFonts w:asciiTheme="minorHAnsi" w:eastAsia="Times New Roman" w:hAnsiTheme="minorHAnsi"/>
          <w:bCs/>
        </w:rPr>
        <w:t>ebe decir:</w:t>
      </w:r>
    </w:p>
    <w:p w:rsidR="00A52962" w:rsidRPr="00373C15" w:rsidRDefault="00A52962" w:rsidP="00373C15">
      <w:pPr>
        <w:jc w:val="both"/>
        <w:rPr>
          <w:rFonts w:asciiTheme="minorHAnsi" w:eastAsia="Times New Roman" w:hAnsiTheme="minorHAnsi"/>
        </w:rPr>
      </w:pPr>
    </w:p>
    <w:p w:rsidR="00373C15" w:rsidRPr="00373C15" w:rsidRDefault="00373C15" w:rsidP="00373C15">
      <w:pPr>
        <w:jc w:val="both"/>
        <w:rPr>
          <w:rFonts w:asciiTheme="minorHAnsi" w:eastAsia="Times New Roman" w:hAnsiTheme="minorHAnsi"/>
        </w:rPr>
      </w:pPr>
      <w:r w:rsidRPr="00373C15">
        <w:rPr>
          <w:rFonts w:asciiTheme="minorHAnsi" w:eastAsia="Times New Roman" w:hAnsiTheme="minorHAnsi"/>
        </w:rPr>
        <w:t>“65. </w:t>
      </w:r>
      <w:r w:rsidRPr="009C19B4">
        <w:rPr>
          <w:rFonts w:asciiTheme="minorHAnsi" w:eastAsia="Times New Roman" w:hAnsiTheme="minorHAnsi" w:cs="Arial"/>
          <w:b/>
        </w:rPr>
        <w:t>Se fomentará y facilitará la cooperación territorial transfronteriza, transnacional e interregional, eliminado los obstáculos derivados de normativas dispares asociadas a jurisdicciones diferentes, con el objeto de reforzar la cohesión económica, social y territorial de la ciudadanía de ambos lados de la frontera a la par que se potencia el sentimiento de ciudadanía europea.</w:t>
      </w:r>
      <w:r w:rsidRPr="00373C15">
        <w:rPr>
          <w:rFonts w:asciiTheme="minorHAnsi" w:eastAsia="Times New Roman" w:hAnsiTheme="minorHAnsi" w:cs="Arial"/>
          <w:color w:val="E22400"/>
        </w:rPr>
        <w:t xml:space="preserve"> </w:t>
      </w:r>
      <w:r w:rsidRPr="00373C15">
        <w:rPr>
          <w:rFonts w:asciiTheme="minorHAnsi" w:eastAsia="Times New Roman" w:hAnsiTheme="minorHAnsi" w:cs="Arial"/>
          <w:strike/>
          <w:color w:val="00374A"/>
        </w:rPr>
        <w:t xml:space="preserve">Mejorar los mecanismos de </w:t>
      </w:r>
      <w:r w:rsidRPr="00373C15">
        <w:rPr>
          <w:rFonts w:asciiTheme="minorHAnsi" w:eastAsia="Times New Roman" w:hAnsiTheme="minorHAnsi" w:cs="Arial"/>
          <w:strike/>
        </w:rPr>
        <w:t xml:space="preserve">interlocución con las </w:t>
      </w:r>
      <w:proofErr w:type="spellStart"/>
      <w:r w:rsidRPr="00373C15">
        <w:rPr>
          <w:rFonts w:asciiTheme="minorHAnsi" w:eastAsia="Times New Roman" w:hAnsiTheme="minorHAnsi" w:cs="Arial"/>
          <w:strike/>
        </w:rPr>
        <w:t>eurorregiones</w:t>
      </w:r>
      <w:proofErr w:type="spellEnd"/>
      <w:r w:rsidRPr="00373C15">
        <w:rPr>
          <w:rFonts w:asciiTheme="minorHAnsi" w:eastAsia="Times New Roman" w:hAnsiTheme="minorHAnsi" w:cs="Arial"/>
          <w:strike/>
        </w:rPr>
        <w:t xml:space="preserve"> como elementos de potenciación del sentimiento de ciudadanía europea</w:t>
      </w:r>
      <w:r w:rsidRPr="00373C15">
        <w:rPr>
          <w:rFonts w:asciiTheme="minorHAnsi" w:eastAsia="Times New Roman" w:hAnsiTheme="minorHAnsi" w:cs="Arial"/>
        </w:rPr>
        <w:t>.”</w:t>
      </w:r>
    </w:p>
    <w:p w:rsidR="004459C0" w:rsidRDefault="004459C0">
      <w:pPr>
        <w:rPr>
          <w:rFonts w:asciiTheme="minorHAnsi" w:eastAsia="Times New Roman" w:hAnsiTheme="minorHAnsi" w:cs="Arial"/>
        </w:rPr>
      </w:pPr>
      <w:r>
        <w:rPr>
          <w:rFonts w:asciiTheme="minorHAnsi" w:eastAsia="Times New Roman" w:hAnsiTheme="minorHAnsi" w:cs="Arial"/>
        </w:rPr>
        <w:br w:type="page"/>
      </w:r>
    </w:p>
    <w:p w:rsidR="004459C0" w:rsidRPr="00373C15" w:rsidRDefault="004459C0" w:rsidP="004459C0">
      <w:pPr>
        <w:spacing w:after="240"/>
        <w:jc w:val="both"/>
        <w:rPr>
          <w:rFonts w:ascii="Calibri" w:hAnsi="Calibri"/>
          <w:b/>
          <w:caps/>
          <w:u w:val="single"/>
        </w:rPr>
      </w:pPr>
      <w:r w:rsidRPr="00373C15">
        <w:rPr>
          <w:rFonts w:ascii="Calibri" w:hAnsi="Calibri"/>
          <w:b/>
          <w:caps/>
          <w:u w:val="single"/>
        </w:rPr>
        <w:t>enmienda</w:t>
      </w:r>
      <w:r>
        <w:rPr>
          <w:rFonts w:ascii="Calibri" w:hAnsi="Calibri"/>
          <w:b/>
          <w:caps/>
          <w:u w:val="single"/>
        </w:rPr>
        <w:t xml:space="preserve"> de </w:t>
      </w:r>
      <w:r>
        <w:rPr>
          <w:rFonts w:ascii="Calibri" w:hAnsi="Calibri"/>
          <w:b/>
          <w:caps/>
          <w:u w:val="single"/>
        </w:rPr>
        <w:t xml:space="preserve">ADICIÓN DE UN NUEVO APARTADO </w:t>
      </w:r>
      <w:r w:rsidR="005B11AD">
        <w:rPr>
          <w:rFonts w:ascii="Calibri" w:hAnsi="Calibri"/>
          <w:b/>
          <w:caps/>
          <w:u w:val="single"/>
        </w:rPr>
        <w:t>1</w:t>
      </w:r>
      <w:r>
        <w:rPr>
          <w:rFonts w:ascii="Calibri" w:hAnsi="Calibri"/>
          <w:b/>
          <w:caps/>
          <w:u w:val="single"/>
        </w:rPr>
        <w:t xml:space="preserve"> </w:t>
      </w:r>
      <w:r w:rsidR="005B11AD">
        <w:rPr>
          <w:rFonts w:ascii="Calibri" w:hAnsi="Calibri"/>
          <w:b/>
          <w:caps/>
          <w:u w:val="single"/>
        </w:rPr>
        <w:t>quater</w:t>
      </w:r>
      <w:r>
        <w:rPr>
          <w:rFonts w:ascii="Calibri" w:hAnsi="Calibri"/>
          <w:b/>
          <w:caps/>
          <w:u w:val="single"/>
        </w:rPr>
        <w:t xml:space="preserve">, BLOQUE 3, </w:t>
      </w:r>
      <w:r>
        <w:rPr>
          <w:rFonts w:ascii="Calibri" w:hAnsi="Calibri"/>
          <w:b/>
          <w:caps/>
          <w:u w:val="single"/>
        </w:rPr>
        <w:t xml:space="preserve"> </w:t>
      </w:r>
      <w:r>
        <w:rPr>
          <w:rFonts w:ascii="Calibri" w:hAnsi="Calibri"/>
          <w:b/>
          <w:caps/>
          <w:u w:val="single"/>
        </w:rPr>
        <w:t>A</w:t>
      </w:r>
      <w:r>
        <w:rPr>
          <w:rFonts w:ascii="Calibri" w:hAnsi="Calibri"/>
          <w:b/>
          <w:caps/>
          <w:u w:val="single"/>
        </w:rPr>
        <w:t xml:space="preserve">l </w:t>
      </w:r>
      <w:r w:rsidRPr="00373C15">
        <w:rPr>
          <w:rFonts w:ascii="Calibri" w:hAnsi="Calibri"/>
          <w:b/>
          <w:caps/>
          <w:u w:val="single"/>
        </w:rPr>
        <w:t xml:space="preserve"> Borrador de conclusiones del Grupo de Trabajo de la Unión Europea, creado en el seno de la Comisión para la Reconstrucción Social y Económica.</w:t>
      </w:r>
    </w:p>
    <w:p w:rsidR="00373C15" w:rsidRPr="00373C15" w:rsidRDefault="00373C15" w:rsidP="00373C15">
      <w:pPr>
        <w:jc w:val="both"/>
        <w:rPr>
          <w:rFonts w:asciiTheme="minorHAnsi" w:eastAsia="Times New Roman" w:hAnsiTheme="minorHAnsi" w:cs="Arial"/>
        </w:rPr>
      </w:pPr>
    </w:p>
    <w:p w:rsidR="00373C15" w:rsidRDefault="009C19B4" w:rsidP="00373C15">
      <w:pPr>
        <w:jc w:val="both"/>
        <w:rPr>
          <w:rFonts w:asciiTheme="minorHAnsi" w:eastAsia="Times New Roman" w:hAnsiTheme="minorHAnsi"/>
          <w:b/>
          <w:bCs/>
        </w:rPr>
      </w:pPr>
      <w:r>
        <w:rPr>
          <w:rFonts w:asciiTheme="minorHAnsi" w:eastAsia="Times New Roman" w:hAnsiTheme="minorHAnsi"/>
          <w:b/>
          <w:bCs/>
        </w:rPr>
        <w:t>D</w:t>
      </w:r>
      <w:r w:rsidR="00373C15" w:rsidRPr="004459C0">
        <w:rPr>
          <w:rFonts w:asciiTheme="minorHAnsi" w:eastAsia="Times New Roman" w:hAnsiTheme="minorHAnsi"/>
          <w:b/>
          <w:bCs/>
        </w:rPr>
        <w:t xml:space="preserve">e adición de un nuevo apartado </w:t>
      </w:r>
      <w:r w:rsidR="005B11AD">
        <w:rPr>
          <w:rFonts w:asciiTheme="minorHAnsi" w:eastAsia="Times New Roman" w:hAnsiTheme="minorHAnsi"/>
          <w:b/>
          <w:bCs/>
        </w:rPr>
        <w:t xml:space="preserve">1 </w:t>
      </w:r>
      <w:proofErr w:type="spellStart"/>
      <w:r w:rsidR="005B11AD">
        <w:rPr>
          <w:rFonts w:asciiTheme="minorHAnsi" w:eastAsia="Times New Roman" w:hAnsiTheme="minorHAnsi"/>
          <w:b/>
          <w:bCs/>
        </w:rPr>
        <w:t>quater</w:t>
      </w:r>
      <w:proofErr w:type="spellEnd"/>
      <w:r w:rsidR="00373C15" w:rsidRPr="004459C0">
        <w:rPr>
          <w:rFonts w:asciiTheme="minorHAnsi" w:eastAsia="Times New Roman" w:hAnsiTheme="minorHAnsi"/>
          <w:b/>
          <w:bCs/>
        </w:rPr>
        <w:t>, con el siguiente texto:</w:t>
      </w:r>
    </w:p>
    <w:p w:rsidR="004459C0" w:rsidRPr="004459C0" w:rsidRDefault="004459C0" w:rsidP="00373C15">
      <w:pPr>
        <w:jc w:val="both"/>
        <w:rPr>
          <w:rFonts w:asciiTheme="minorHAnsi" w:eastAsia="Times New Roman" w:hAnsiTheme="minorHAnsi"/>
        </w:rPr>
      </w:pPr>
    </w:p>
    <w:p w:rsidR="00373C15" w:rsidRPr="009C19B4" w:rsidRDefault="00373C15" w:rsidP="00373C15">
      <w:pPr>
        <w:jc w:val="both"/>
        <w:rPr>
          <w:rFonts w:asciiTheme="minorHAnsi" w:eastAsia="Times New Roman" w:hAnsiTheme="minorHAnsi"/>
          <w:b/>
        </w:rPr>
      </w:pPr>
      <w:r w:rsidRPr="009C19B4">
        <w:rPr>
          <w:rFonts w:asciiTheme="minorHAnsi" w:eastAsia="Times New Roman" w:hAnsiTheme="minorHAnsi" w:cs="Arial"/>
          <w:b/>
        </w:rPr>
        <w:t>“</w:t>
      </w:r>
      <w:r w:rsidR="005B11AD">
        <w:rPr>
          <w:rFonts w:asciiTheme="minorHAnsi" w:eastAsia="Times New Roman" w:hAnsiTheme="minorHAnsi" w:cs="Arial"/>
          <w:b/>
        </w:rPr>
        <w:t>1 quater</w:t>
      </w:r>
      <w:bookmarkStart w:id="0" w:name="_GoBack"/>
      <w:bookmarkEnd w:id="0"/>
      <w:r w:rsidRPr="009C19B4">
        <w:rPr>
          <w:rFonts w:asciiTheme="minorHAnsi" w:eastAsia="Times New Roman" w:hAnsiTheme="minorHAnsi" w:cs="Arial"/>
          <w:b/>
        </w:rPr>
        <w:t>. Se impulsarán y facilitarán inversiones  interregionales en materia de innovación en áreas de especialización inteligente, de manera especial a través de PYMES.”</w:t>
      </w:r>
    </w:p>
    <w:p w:rsidR="004459C0" w:rsidRDefault="004459C0" w:rsidP="004459C0">
      <w:pPr>
        <w:jc w:val="both"/>
        <w:rPr>
          <w:rFonts w:asciiTheme="minorHAnsi" w:eastAsia="Times New Roman" w:hAnsiTheme="minorHAnsi" w:cs="Arial"/>
          <w:color w:val="E22400"/>
        </w:rPr>
      </w:pPr>
    </w:p>
    <w:p w:rsidR="004459C0" w:rsidRDefault="004459C0">
      <w:pPr>
        <w:rPr>
          <w:rFonts w:asciiTheme="minorHAnsi" w:eastAsia="Times New Roman" w:hAnsiTheme="minorHAnsi" w:cs="Arial"/>
          <w:color w:val="E22400"/>
        </w:rPr>
      </w:pPr>
      <w:r>
        <w:rPr>
          <w:rFonts w:asciiTheme="minorHAnsi" w:eastAsia="Times New Roman" w:hAnsiTheme="minorHAnsi" w:cs="Arial"/>
          <w:color w:val="E22400"/>
        </w:rPr>
        <w:br w:type="page"/>
      </w:r>
    </w:p>
    <w:p w:rsidR="004459C0" w:rsidRPr="00373C15" w:rsidRDefault="004459C0" w:rsidP="004459C0">
      <w:pPr>
        <w:spacing w:after="240"/>
        <w:jc w:val="both"/>
        <w:rPr>
          <w:rFonts w:ascii="Calibri" w:hAnsi="Calibri"/>
          <w:b/>
          <w:caps/>
          <w:u w:val="single"/>
        </w:rPr>
      </w:pPr>
      <w:r w:rsidRPr="00373C15">
        <w:rPr>
          <w:rFonts w:ascii="Calibri" w:hAnsi="Calibri"/>
          <w:b/>
          <w:caps/>
          <w:u w:val="single"/>
        </w:rPr>
        <w:t>enmienda</w:t>
      </w:r>
      <w:r>
        <w:rPr>
          <w:rFonts w:ascii="Calibri" w:hAnsi="Calibri"/>
          <w:b/>
          <w:caps/>
          <w:u w:val="single"/>
        </w:rPr>
        <w:t xml:space="preserve"> de modificación al apartado </w:t>
      </w:r>
      <w:r>
        <w:rPr>
          <w:rFonts w:ascii="Calibri" w:hAnsi="Calibri"/>
          <w:b/>
          <w:caps/>
          <w:u w:val="single"/>
        </w:rPr>
        <w:t>66 DEL bloque 3</w:t>
      </w:r>
      <w:r>
        <w:rPr>
          <w:rFonts w:ascii="Calibri" w:hAnsi="Calibri"/>
          <w:b/>
          <w:caps/>
          <w:u w:val="single"/>
        </w:rPr>
        <w:t xml:space="preserve"> del </w:t>
      </w:r>
      <w:r w:rsidRPr="00373C15">
        <w:rPr>
          <w:rFonts w:ascii="Calibri" w:hAnsi="Calibri"/>
          <w:b/>
          <w:caps/>
          <w:u w:val="single"/>
        </w:rPr>
        <w:t xml:space="preserve"> Borrador de conclusiones del Grupo de Trabajo de la Unión Europea, creado en el seno de la Comisión para la Reconstrucción Social y Económica.</w:t>
      </w:r>
    </w:p>
    <w:p w:rsidR="00373C15" w:rsidRPr="004459C0" w:rsidRDefault="00373C15" w:rsidP="00373C15">
      <w:pPr>
        <w:jc w:val="both"/>
        <w:rPr>
          <w:rFonts w:asciiTheme="minorHAnsi" w:eastAsia="Times New Roman" w:hAnsiTheme="minorHAnsi" w:cs="Arial"/>
        </w:rPr>
      </w:pPr>
      <w:r w:rsidRPr="00373C15">
        <w:rPr>
          <w:rFonts w:asciiTheme="minorHAnsi" w:eastAsia="Times New Roman" w:hAnsiTheme="minorHAnsi" w:cs="Arial"/>
          <w:color w:val="E22400"/>
        </w:rPr>
        <w:br/>
      </w:r>
      <w:r w:rsidR="004459C0" w:rsidRPr="004459C0">
        <w:rPr>
          <w:rFonts w:asciiTheme="minorHAnsi" w:eastAsia="Times New Roman" w:hAnsiTheme="minorHAnsi"/>
          <w:bCs/>
        </w:rPr>
        <w:t>Debe decir:</w:t>
      </w:r>
    </w:p>
    <w:p w:rsidR="00373C15" w:rsidRPr="00373C15" w:rsidRDefault="00373C15" w:rsidP="00373C15">
      <w:pPr>
        <w:jc w:val="both"/>
        <w:rPr>
          <w:rFonts w:asciiTheme="minorHAnsi" w:eastAsia="Times New Roman" w:hAnsiTheme="minorHAnsi"/>
        </w:rPr>
      </w:pPr>
    </w:p>
    <w:p w:rsidR="004459C0" w:rsidRPr="009C19B4" w:rsidRDefault="00373C15" w:rsidP="00373C15">
      <w:pPr>
        <w:jc w:val="both"/>
        <w:rPr>
          <w:rFonts w:asciiTheme="minorHAnsi" w:eastAsia="Times New Roman" w:hAnsiTheme="minorHAnsi" w:cs="Arial"/>
          <w:b/>
        </w:rPr>
      </w:pPr>
      <w:r w:rsidRPr="00373C15">
        <w:rPr>
          <w:rFonts w:asciiTheme="minorHAnsi" w:eastAsia="Times New Roman" w:hAnsiTheme="minorHAnsi"/>
        </w:rPr>
        <w:t>“66. </w:t>
      </w:r>
      <w:r w:rsidRPr="00373C15">
        <w:rPr>
          <w:rFonts w:asciiTheme="minorHAnsi" w:eastAsia="Times New Roman" w:hAnsiTheme="minorHAnsi" w:cs="Arial"/>
          <w:strike/>
        </w:rPr>
        <w:t xml:space="preserve">Evaluar el refuerzo de los instrumentos de participación de Comunidades y Ciudades autónomas en la formación de la posición española ante las instituciones europeas en el marco de la covid-19. </w:t>
      </w:r>
      <w:proofErr w:type="gramStart"/>
      <w:r w:rsidRPr="00373C15">
        <w:rPr>
          <w:rFonts w:asciiTheme="minorHAnsi" w:eastAsia="Times New Roman" w:hAnsiTheme="minorHAnsi" w:cs="Arial"/>
          <w:strike/>
        </w:rPr>
        <w:t>así</w:t>
      </w:r>
      <w:proofErr w:type="gramEnd"/>
      <w:r w:rsidRPr="00373C15">
        <w:rPr>
          <w:rFonts w:asciiTheme="minorHAnsi" w:eastAsia="Times New Roman" w:hAnsiTheme="minorHAnsi" w:cs="Arial"/>
          <w:strike/>
        </w:rPr>
        <w:t xml:space="preserve"> como para una verdadera política europea que contemple no sólo los Estados Miembro sino también las regiones y ciudades</w:t>
      </w:r>
      <w:r w:rsidRPr="00373C15">
        <w:rPr>
          <w:rFonts w:asciiTheme="minorHAnsi" w:eastAsia="Times New Roman" w:hAnsiTheme="minorHAnsi" w:cs="Arial"/>
        </w:rPr>
        <w:t xml:space="preserve">.   </w:t>
      </w:r>
      <w:r w:rsidRPr="009C19B4">
        <w:rPr>
          <w:rFonts w:asciiTheme="minorHAnsi" w:eastAsia="Times New Roman" w:hAnsiTheme="minorHAnsi" w:cs="Arial"/>
          <w:b/>
        </w:rPr>
        <w:t>Se asegurará la participación de las Comunidades Autónomas en la formación de las posiciones del Estado ante la Unión Europea en los procedimientos de revisión de los Tratados y en los asuntos relativos a sus competencias e intereses; así como en las delegaciones españolas ante órganos consultivos, preparatorios y  decisorios de  la UE que los traten, singularmente respecto de  aquellos derechos reconocidos constitucionalmente; y en la representación permanente del Estado ante aquella</w:t>
      </w:r>
      <w:r w:rsidR="004459C0" w:rsidRPr="009C19B4">
        <w:rPr>
          <w:rFonts w:asciiTheme="minorHAnsi" w:eastAsia="Times New Roman" w:hAnsiTheme="minorHAnsi" w:cs="Arial"/>
          <w:b/>
        </w:rPr>
        <w:t>.</w:t>
      </w:r>
      <w:r w:rsidRPr="009C19B4">
        <w:rPr>
          <w:rFonts w:asciiTheme="minorHAnsi" w:eastAsia="Times New Roman" w:hAnsiTheme="minorHAnsi" w:cs="Arial"/>
          <w:b/>
        </w:rPr>
        <w:t>”</w:t>
      </w:r>
    </w:p>
    <w:p w:rsidR="004459C0" w:rsidRDefault="004459C0" w:rsidP="00373C15">
      <w:pPr>
        <w:jc w:val="both"/>
        <w:rPr>
          <w:rFonts w:asciiTheme="minorHAnsi" w:eastAsia="Times New Roman" w:hAnsiTheme="minorHAnsi" w:cs="Arial"/>
          <w:color w:val="E22400"/>
        </w:rPr>
      </w:pPr>
    </w:p>
    <w:p w:rsidR="004459C0" w:rsidRDefault="004459C0">
      <w:pPr>
        <w:rPr>
          <w:rFonts w:asciiTheme="minorHAnsi" w:eastAsia="Times New Roman" w:hAnsiTheme="minorHAnsi" w:cs="Arial"/>
          <w:color w:val="E22400"/>
        </w:rPr>
      </w:pPr>
      <w:r>
        <w:rPr>
          <w:rFonts w:asciiTheme="minorHAnsi" w:eastAsia="Times New Roman" w:hAnsiTheme="minorHAnsi" w:cs="Arial"/>
          <w:color w:val="E22400"/>
        </w:rPr>
        <w:br w:type="page"/>
      </w:r>
    </w:p>
    <w:p w:rsidR="004459C0" w:rsidRPr="00373C15" w:rsidRDefault="00373C15" w:rsidP="004459C0">
      <w:pPr>
        <w:spacing w:after="240"/>
        <w:jc w:val="both"/>
        <w:rPr>
          <w:rFonts w:ascii="Calibri" w:hAnsi="Calibri"/>
          <w:b/>
          <w:caps/>
          <w:u w:val="single"/>
        </w:rPr>
      </w:pPr>
      <w:r w:rsidRPr="00373C15">
        <w:rPr>
          <w:rFonts w:asciiTheme="minorHAnsi" w:eastAsia="Times New Roman" w:hAnsiTheme="minorHAnsi"/>
        </w:rPr>
        <w:br/>
      </w:r>
      <w:r w:rsidR="004459C0" w:rsidRPr="00373C15">
        <w:rPr>
          <w:rFonts w:ascii="Calibri" w:hAnsi="Calibri"/>
          <w:b/>
          <w:caps/>
          <w:u w:val="single"/>
        </w:rPr>
        <w:t>enmienda</w:t>
      </w:r>
      <w:r w:rsidR="004459C0">
        <w:rPr>
          <w:rFonts w:ascii="Calibri" w:hAnsi="Calibri"/>
          <w:b/>
          <w:caps/>
          <w:u w:val="single"/>
        </w:rPr>
        <w:t xml:space="preserve"> de modificación al apartado </w:t>
      </w:r>
      <w:r w:rsidR="004459C0">
        <w:rPr>
          <w:rFonts w:ascii="Calibri" w:hAnsi="Calibri"/>
          <w:b/>
          <w:caps/>
          <w:u w:val="single"/>
        </w:rPr>
        <w:t>67 del bloque 3</w:t>
      </w:r>
      <w:r w:rsidR="004459C0">
        <w:rPr>
          <w:rFonts w:ascii="Calibri" w:hAnsi="Calibri"/>
          <w:b/>
          <w:caps/>
          <w:u w:val="single"/>
        </w:rPr>
        <w:t xml:space="preserve"> del </w:t>
      </w:r>
      <w:r w:rsidR="004459C0" w:rsidRPr="00373C15">
        <w:rPr>
          <w:rFonts w:ascii="Calibri" w:hAnsi="Calibri"/>
          <w:b/>
          <w:caps/>
          <w:u w:val="single"/>
        </w:rPr>
        <w:t xml:space="preserve"> Borrador de conclusiones del Grupo de Trabajo de la Unión Europea, creado en el seno de la Comisión para la Reconstrucción Social y Económica.</w:t>
      </w:r>
    </w:p>
    <w:p w:rsidR="00373C15" w:rsidRDefault="004459C0" w:rsidP="00373C15">
      <w:pPr>
        <w:jc w:val="both"/>
        <w:rPr>
          <w:rFonts w:asciiTheme="minorHAnsi" w:eastAsia="Times New Roman" w:hAnsiTheme="minorHAnsi"/>
          <w:bCs/>
        </w:rPr>
      </w:pPr>
      <w:r>
        <w:rPr>
          <w:rFonts w:asciiTheme="minorHAnsi" w:eastAsia="Times New Roman" w:hAnsiTheme="minorHAnsi"/>
          <w:bCs/>
        </w:rPr>
        <w:t>Debe decir:</w:t>
      </w:r>
    </w:p>
    <w:p w:rsidR="004459C0" w:rsidRPr="004459C0" w:rsidRDefault="004459C0" w:rsidP="00373C15">
      <w:pPr>
        <w:jc w:val="both"/>
        <w:rPr>
          <w:rFonts w:asciiTheme="minorHAnsi" w:eastAsia="Times New Roman" w:hAnsiTheme="minorHAnsi"/>
        </w:rPr>
      </w:pPr>
    </w:p>
    <w:p w:rsidR="00373C15" w:rsidRPr="00373C15" w:rsidRDefault="00373C15" w:rsidP="00373C15">
      <w:pPr>
        <w:jc w:val="both"/>
        <w:rPr>
          <w:rFonts w:asciiTheme="minorHAnsi" w:eastAsia="Times New Roman" w:hAnsiTheme="minorHAnsi"/>
        </w:rPr>
      </w:pPr>
      <w:r w:rsidRPr="00373C15">
        <w:rPr>
          <w:rFonts w:asciiTheme="minorHAnsi" w:eastAsia="Times New Roman" w:hAnsiTheme="minorHAnsi"/>
        </w:rPr>
        <w:t>“67. </w:t>
      </w:r>
      <w:r w:rsidRPr="00373C15">
        <w:rPr>
          <w:rFonts w:asciiTheme="minorHAnsi" w:eastAsia="Times New Roman" w:hAnsiTheme="minorHAnsi" w:cs="Arial"/>
          <w:strike/>
        </w:rPr>
        <w:t>Estudiar medidas para</w:t>
      </w:r>
      <w:r w:rsidRPr="00373C15">
        <w:rPr>
          <w:rFonts w:asciiTheme="minorHAnsi" w:eastAsia="Times New Roman" w:hAnsiTheme="minorHAnsi" w:cs="Arial"/>
        </w:rPr>
        <w:t xml:space="preserve"> Se implicará a todos los niveles del Estado —central, autonómico y local— y a la sociedad civil en los trabajos de la </w:t>
      </w:r>
      <w:r w:rsidRPr="009C19B4">
        <w:rPr>
          <w:rFonts w:asciiTheme="minorHAnsi" w:eastAsia="Times New Roman" w:hAnsiTheme="minorHAnsi" w:cs="Arial"/>
          <w:b/>
        </w:rPr>
        <w:t>próxima</w:t>
      </w:r>
      <w:r w:rsidRPr="00373C15">
        <w:rPr>
          <w:rFonts w:asciiTheme="minorHAnsi" w:eastAsia="Times New Roman" w:hAnsiTheme="minorHAnsi" w:cs="Arial"/>
          <w:color w:val="E22400"/>
        </w:rPr>
        <w:t xml:space="preserve"> </w:t>
      </w:r>
      <w:r w:rsidRPr="00373C15">
        <w:rPr>
          <w:rFonts w:asciiTheme="minorHAnsi" w:eastAsia="Times New Roman" w:hAnsiTheme="minorHAnsi" w:cs="Arial"/>
        </w:rPr>
        <w:t>Conferencia sobre el Futuro de Europa.”</w:t>
      </w:r>
    </w:p>
    <w:p w:rsidR="00A23F48" w:rsidRPr="00373C15" w:rsidRDefault="00A23F48" w:rsidP="00373C15">
      <w:pPr>
        <w:jc w:val="both"/>
        <w:rPr>
          <w:rFonts w:asciiTheme="minorHAnsi" w:hAnsiTheme="minorHAnsi"/>
        </w:rPr>
      </w:pPr>
    </w:p>
    <w:sectPr w:rsidR="00A23F48" w:rsidRPr="00373C15" w:rsidSect="00832F42">
      <w:headerReference w:type="default" r:id="rId7"/>
      <w:footerReference w:type="even" r:id="rId8"/>
      <w:footerReference w:type="default" r:id="rId9"/>
      <w:pgSz w:w="11906" w:h="16838"/>
      <w:pgMar w:top="2875" w:right="1701" w:bottom="1078"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C15" w:rsidRDefault="00373C15">
      <w:r>
        <w:separator/>
      </w:r>
    </w:p>
  </w:endnote>
  <w:endnote w:type="continuationSeparator" w:id="0">
    <w:p w:rsidR="00373C15" w:rsidRDefault="00373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vantGarde Md BT">
    <w:altName w:val="Century Gothic"/>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4C3" w:rsidRDefault="007274C3" w:rsidP="005C035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274C3" w:rsidRDefault="007274C3" w:rsidP="002A6219">
    <w:pPr>
      <w:pStyle w:val="Piedepgina"/>
      <w:ind w:right="360"/>
    </w:pPr>
  </w:p>
  <w:p w:rsidR="007274C3" w:rsidRDefault="007274C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2290690"/>
      <w:docPartObj>
        <w:docPartGallery w:val="Page Numbers (Bottom of Page)"/>
        <w:docPartUnique/>
      </w:docPartObj>
    </w:sdtPr>
    <w:sdtContent>
      <w:p w:rsidR="00B064BB" w:rsidRDefault="00B064BB">
        <w:pPr>
          <w:pStyle w:val="Piedepgina"/>
          <w:jc w:val="right"/>
        </w:pPr>
        <w:r>
          <w:fldChar w:fldCharType="begin"/>
        </w:r>
        <w:r>
          <w:instrText>PAGE   \* MERGEFORMAT</w:instrText>
        </w:r>
        <w:r>
          <w:fldChar w:fldCharType="separate"/>
        </w:r>
        <w:r w:rsidR="005B11AD">
          <w:rPr>
            <w:noProof/>
          </w:rPr>
          <w:t>21</w:t>
        </w:r>
        <w:r>
          <w:fldChar w:fldCharType="end"/>
        </w:r>
      </w:p>
    </w:sdtContent>
  </w:sdt>
  <w:p w:rsidR="007274C3" w:rsidRDefault="007274C3" w:rsidP="005C0355">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C15" w:rsidRDefault="00373C15">
      <w:r>
        <w:separator/>
      </w:r>
    </w:p>
  </w:footnote>
  <w:footnote w:type="continuationSeparator" w:id="0">
    <w:p w:rsidR="00373C15" w:rsidRDefault="00373C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4C3" w:rsidRDefault="00373C15">
    <w:pPr>
      <w:pStyle w:val="Encabezado"/>
    </w:pPr>
    <w:r>
      <w:rPr>
        <w:noProof/>
      </w:rPr>
      <mc:AlternateContent>
        <mc:Choice Requires="wps">
          <w:drawing>
            <wp:anchor distT="0" distB="0" distL="114300" distR="114300" simplePos="0" relativeHeight="251654656" behindDoc="0" locked="0" layoutInCell="1" allowOverlap="1">
              <wp:simplePos x="0" y="0"/>
              <wp:positionH relativeFrom="column">
                <wp:posOffset>-685800</wp:posOffset>
              </wp:positionH>
              <wp:positionV relativeFrom="paragraph">
                <wp:posOffset>-3175</wp:posOffset>
              </wp:positionV>
              <wp:extent cx="4343400" cy="1456055"/>
              <wp:effectExtent l="0" t="0" r="0" b="4445"/>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456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74C3" w:rsidRDefault="007274C3">
                          <w:pPr>
                            <w:rPr>
                              <w:rFonts w:ascii="AvantGarde Md BT" w:hAnsi="AvantGarde Md BT"/>
                              <w:b/>
                              <w:sz w:val="28"/>
                              <w:szCs w:val="28"/>
                            </w:rPr>
                          </w:pPr>
                        </w:p>
                        <w:p w:rsidR="007274C3" w:rsidRPr="00B51738" w:rsidRDefault="007274C3" w:rsidP="003B1ED5">
                          <w:pPr>
                            <w:rPr>
                              <w:rFonts w:ascii="Century Gothic" w:hAnsi="Century Gothic"/>
                              <w:b/>
                            </w:rPr>
                          </w:pPr>
                          <w:r w:rsidRPr="00B51738">
                            <w:rPr>
                              <w:rFonts w:ascii="Century Gothic" w:hAnsi="Century Gothic"/>
                              <w:b/>
                            </w:rPr>
                            <w:t>EUSKAL TALDEA</w:t>
                          </w:r>
                        </w:p>
                        <w:p w:rsidR="007274C3" w:rsidRDefault="007274C3" w:rsidP="003B1ED5">
                          <w:pPr>
                            <w:rPr>
                              <w:rFonts w:ascii="Century Gothic" w:hAnsi="Century Gothic"/>
                              <w:b/>
                            </w:rPr>
                          </w:pPr>
                          <w:r w:rsidRPr="00B51738">
                            <w:rPr>
                              <w:rFonts w:ascii="Century Gothic" w:hAnsi="Century Gothic"/>
                              <w:b/>
                            </w:rPr>
                            <w:t>GRUPO VASCO</w:t>
                          </w:r>
                        </w:p>
                        <w:p w:rsidR="007274C3" w:rsidRPr="00B51738" w:rsidRDefault="007274C3" w:rsidP="003B1ED5">
                          <w:pPr>
                            <w:rPr>
                              <w:rFonts w:ascii="Century Gothic" w:hAnsi="Century Gothic"/>
                              <w:b/>
                            </w:rPr>
                          </w:pPr>
                        </w:p>
                        <w:p w:rsidR="007274C3" w:rsidRPr="00B51738" w:rsidRDefault="007274C3">
                          <w:pPr>
                            <w:rPr>
                              <w:rFonts w:ascii="Century Gothic" w:hAnsi="Century Gothic"/>
                              <w:b/>
                            </w:rPr>
                          </w:pPr>
                          <w:r w:rsidRPr="00B51738">
                            <w:rPr>
                              <w:rFonts w:ascii="Century Gothic" w:hAnsi="Century Gothic"/>
                              <w:b/>
                            </w:rPr>
                            <w:t>EUSKO ALDERDI JELTZALEA</w:t>
                          </w:r>
                        </w:p>
                        <w:p w:rsidR="007274C3" w:rsidRPr="00B51738" w:rsidRDefault="007274C3">
                          <w:pPr>
                            <w:rPr>
                              <w:rFonts w:ascii="Century Gothic" w:hAnsi="Century Gothic"/>
                              <w:b/>
                            </w:rPr>
                          </w:pPr>
                          <w:r w:rsidRPr="00B51738">
                            <w:rPr>
                              <w:rFonts w:ascii="Century Gothic" w:hAnsi="Century Gothic"/>
                              <w:b/>
                            </w:rPr>
                            <w:t>PARTIDO NACIONALISTA VASCO</w:t>
                          </w:r>
                        </w:p>
                        <w:p w:rsidR="007274C3" w:rsidRPr="00B51738" w:rsidRDefault="007274C3">
                          <w:pPr>
                            <w:rPr>
                              <w:rFonts w:ascii="Century Gothic" w:hAnsi="Century Gothic"/>
                              <w:b/>
                            </w:rPr>
                          </w:pPr>
                        </w:p>
                        <w:p w:rsidR="007274C3" w:rsidRPr="00EC5957" w:rsidRDefault="007274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54pt;margin-top:-.25pt;width:342pt;height:114.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" stroked="f">
              <v:textbox>
                <w:txbxContent>
                  <w:p w:rsidR="007274C3" w:rsidRDefault="007274C3">
                    <w:pPr>
                      <w:rPr>
                        <w:rFonts w:ascii="AvantGarde Md BT" w:hAnsi="AvantGarde Md BT"/>
                        <w:b/>
                        <w:sz w:val="28"/>
                        <w:szCs w:val="28"/>
                      </w:rPr>
                    </w:pPr>
                  </w:p>
                  <w:p w:rsidR="007274C3" w:rsidRPr="00B51738" w:rsidRDefault="007274C3" w:rsidP="003B1ED5">
                    <w:pPr>
                      <w:rPr>
                        <w:rFonts w:ascii="Century Gothic" w:hAnsi="Century Gothic"/>
                        <w:b/>
                      </w:rPr>
                    </w:pPr>
                    <w:r w:rsidRPr="00B51738">
                      <w:rPr>
                        <w:rFonts w:ascii="Century Gothic" w:hAnsi="Century Gothic"/>
                        <w:b/>
                      </w:rPr>
                      <w:t>EUSKAL TALDEA</w:t>
                    </w:r>
                  </w:p>
                  <w:p w:rsidR="007274C3" w:rsidRDefault="007274C3" w:rsidP="003B1ED5">
                    <w:pPr>
                      <w:rPr>
                        <w:rFonts w:ascii="Century Gothic" w:hAnsi="Century Gothic"/>
                        <w:b/>
                      </w:rPr>
                    </w:pPr>
                    <w:r w:rsidRPr="00B51738">
                      <w:rPr>
                        <w:rFonts w:ascii="Century Gothic" w:hAnsi="Century Gothic"/>
                        <w:b/>
                      </w:rPr>
                      <w:t>GRUPO VASCO</w:t>
                    </w:r>
                  </w:p>
                  <w:p w:rsidR="007274C3" w:rsidRPr="00B51738" w:rsidRDefault="007274C3" w:rsidP="003B1ED5">
                    <w:pPr>
                      <w:rPr>
                        <w:rFonts w:ascii="Century Gothic" w:hAnsi="Century Gothic"/>
                        <w:b/>
                      </w:rPr>
                    </w:pPr>
                  </w:p>
                  <w:p w:rsidR="007274C3" w:rsidRPr="00B51738" w:rsidRDefault="007274C3">
                    <w:pPr>
                      <w:rPr>
                        <w:rFonts w:ascii="Century Gothic" w:hAnsi="Century Gothic"/>
                        <w:b/>
                      </w:rPr>
                    </w:pPr>
                    <w:r w:rsidRPr="00B51738">
                      <w:rPr>
                        <w:rFonts w:ascii="Century Gothic" w:hAnsi="Century Gothic"/>
                        <w:b/>
                      </w:rPr>
                      <w:t>EUSKO ALDERDI JELTZALEA</w:t>
                    </w:r>
                  </w:p>
                  <w:p w:rsidR="007274C3" w:rsidRPr="00B51738" w:rsidRDefault="007274C3">
                    <w:pPr>
                      <w:rPr>
                        <w:rFonts w:ascii="Century Gothic" w:hAnsi="Century Gothic"/>
                        <w:b/>
                      </w:rPr>
                    </w:pPr>
                    <w:r w:rsidRPr="00B51738">
                      <w:rPr>
                        <w:rFonts w:ascii="Century Gothic" w:hAnsi="Century Gothic"/>
                        <w:b/>
                      </w:rPr>
                      <w:t>PARTIDO NACIONALISTA VASCO</w:t>
                    </w:r>
                  </w:p>
                  <w:p w:rsidR="007274C3" w:rsidRPr="00B51738" w:rsidRDefault="007274C3">
                    <w:pPr>
                      <w:rPr>
                        <w:rFonts w:ascii="Century Gothic" w:hAnsi="Century Gothic"/>
                        <w:b/>
                      </w:rPr>
                    </w:pPr>
                  </w:p>
                  <w:p w:rsidR="007274C3" w:rsidRPr="00EC5957" w:rsidRDefault="007274C3"/>
                </w:txbxContent>
              </v:textbox>
            </v:shape>
          </w:pict>
        </mc:Fallback>
      </mc:AlternateContent>
    </w:r>
    <w:r>
      <w:rPr>
        <w:noProof/>
      </w:rPr>
      <w:drawing>
        <wp:anchor distT="0" distB="0" distL="114300" distR="114300" simplePos="0" relativeHeight="251660800" behindDoc="0" locked="0" layoutInCell="1" allowOverlap="1">
          <wp:simplePos x="0" y="0"/>
          <wp:positionH relativeFrom="column">
            <wp:posOffset>4457700</wp:posOffset>
          </wp:positionH>
          <wp:positionV relativeFrom="paragraph">
            <wp:posOffset>111125</wp:posOffset>
          </wp:positionV>
          <wp:extent cx="1600200" cy="1200150"/>
          <wp:effectExtent l="0" t="0" r="0" b="0"/>
          <wp:wrapNone/>
          <wp:docPr id="26" name="Imagen 26" descr="eaj_berria_Karr-PERFIL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aj_berria_Karr-PERFIL FACEBO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74C3" w:rsidRDefault="00373C15">
    <w:pPr>
      <w:pStyle w:val="Encabezado"/>
    </w:pPr>
    <w:r>
      <w:rPr>
        <w:noProof/>
      </w:rPr>
      <mc:AlternateContent>
        <mc:Choice Requires="wps">
          <w:drawing>
            <wp:anchor distT="0" distB="0" distL="114300" distR="114300" simplePos="0" relativeHeight="251655680" behindDoc="0" locked="0" layoutInCell="1" allowOverlap="1">
              <wp:simplePos x="0" y="0"/>
              <wp:positionH relativeFrom="column">
                <wp:posOffset>-1141095</wp:posOffset>
              </wp:positionH>
              <wp:positionV relativeFrom="paragraph">
                <wp:posOffset>1193165</wp:posOffset>
              </wp:positionV>
              <wp:extent cx="7658100" cy="53975"/>
              <wp:effectExtent l="11430" t="12065" r="7620" b="10160"/>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3975"/>
                      </a:xfrm>
                      <a:prstGeom prst="rect">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AE2EE" id="Rectangle 15" o:spid="_x0000_s1026" style="position:absolute;margin-left:-89.85pt;margin-top:93.95pt;width:603pt;height: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" fillcolor="red" strokecolor="red"/>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-1143000</wp:posOffset>
              </wp:positionH>
              <wp:positionV relativeFrom="paragraph">
                <wp:posOffset>1253490</wp:posOffset>
              </wp:positionV>
              <wp:extent cx="7658100" cy="53975"/>
              <wp:effectExtent l="9525" t="5715" r="9525" b="6985"/>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3975"/>
                      </a:xfrm>
                      <a:prstGeom prst="rect">
                        <a:avLst/>
                      </a:prstGeom>
                      <a:solidFill>
                        <a:srgbClr val="339966"/>
                      </a:solidFill>
                      <a:ln w="9525">
                        <a:solidFill>
                          <a:srgbClr val="33996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5CA63" id="Rectangle 19" o:spid="_x0000_s1026" style="position:absolute;margin-left:-90pt;margin-top:98.7pt;width:603pt;height: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" fillcolor="#396" strokecolor="#396"/>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1421765</wp:posOffset>
              </wp:positionV>
              <wp:extent cx="7658100" cy="53975"/>
              <wp:effectExtent l="9525" t="12065" r="9525" b="10160"/>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3975"/>
                      </a:xfrm>
                      <a:prstGeom prst="rect">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1925C" id="Rectangle 22" o:spid="_x0000_s1026" style="position:absolute;margin-left:-90pt;margin-top:111.95pt;width:603pt;height: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" fillcolor="red" strokecolor="red"/>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-1143000</wp:posOffset>
              </wp:positionH>
              <wp:positionV relativeFrom="paragraph">
                <wp:posOffset>1367790</wp:posOffset>
              </wp:positionV>
              <wp:extent cx="7658100" cy="53975"/>
              <wp:effectExtent l="9525" t="5715" r="9525" b="6985"/>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3975"/>
                      </a:xfrm>
                      <a:prstGeom prst="rect">
                        <a:avLst/>
                      </a:prstGeom>
                      <a:solidFill>
                        <a:srgbClr val="339966"/>
                      </a:solidFill>
                      <a:ln w="9525">
                        <a:solidFill>
                          <a:srgbClr val="33996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20F2F" id="Rectangle 21" o:spid="_x0000_s1026" style="position:absolute;margin-left:-90pt;margin-top:107.7pt;width:603pt;height: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" fillcolor="#396" strokecolor="#396"/>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-1143000</wp:posOffset>
              </wp:positionH>
              <wp:positionV relativeFrom="paragraph">
                <wp:posOffset>1482090</wp:posOffset>
              </wp:positionV>
              <wp:extent cx="7658100" cy="53975"/>
              <wp:effectExtent l="9525" t="5715" r="9525" b="698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39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279C4" id="Rectangle 20" o:spid="_x0000_s1026" style="position:absolute;margin-left:-90pt;margin-top:116.7pt;width:603pt;height: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" strokecolor="white"/>
          </w:pict>
        </mc:Fallback>
      </mc:AlternateContent>
    </w:r>
  </w:p>
  <w:p w:rsidR="007274C3" w:rsidRDefault="007274C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6144E"/>
    <w:multiLevelType w:val="hybridMultilevel"/>
    <w:tmpl w:val="86222B48"/>
    <w:lvl w:ilvl="0" w:tplc="743205AA">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23057F"/>
    <w:multiLevelType w:val="multilevel"/>
    <w:tmpl w:val="174293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50278CD"/>
    <w:multiLevelType w:val="hybridMultilevel"/>
    <w:tmpl w:val="676ADC42"/>
    <w:lvl w:ilvl="0" w:tplc="0C0A0001">
      <w:start w:val="1"/>
      <w:numFmt w:val="bullet"/>
      <w:lvlText w:val=""/>
      <w:lvlJc w:val="left"/>
      <w:pPr>
        <w:tabs>
          <w:tab w:val="num" w:pos="2130"/>
        </w:tabs>
        <w:ind w:left="2130" w:hanging="360"/>
      </w:pPr>
      <w:rPr>
        <w:rFonts w:ascii="Symbol" w:hAnsi="Symbol" w:hint="default"/>
      </w:rPr>
    </w:lvl>
    <w:lvl w:ilvl="1" w:tplc="0C0A0003" w:tentative="1">
      <w:start w:val="1"/>
      <w:numFmt w:val="bullet"/>
      <w:lvlText w:val="o"/>
      <w:lvlJc w:val="left"/>
      <w:pPr>
        <w:tabs>
          <w:tab w:val="num" w:pos="2850"/>
        </w:tabs>
        <w:ind w:left="2850" w:hanging="360"/>
      </w:pPr>
      <w:rPr>
        <w:rFonts w:ascii="Courier New" w:hAnsi="Courier New" w:cs="Courier New" w:hint="default"/>
      </w:rPr>
    </w:lvl>
    <w:lvl w:ilvl="2" w:tplc="0C0A0005" w:tentative="1">
      <w:start w:val="1"/>
      <w:numFmt w:val="bullet"/>
      <w:lvlText w:val=""/>
      <w:lvlJc w:val="left"/>
      <w:pPr>
        <w:tabs>
          <w:tab w:val="num" w:pos="3570"/>
        </w:tabs>
        <w:ind w:left="3570" w:hanging="360"/>
      </w:pPr>
      <w:rPr>
        <w:rFonts w:ascii="Wingdings" w:hAnsi="Wingdings" w:hint="default"/>
      </w:rPr>
    </w:lvl>
    <w:lvl w:ilvl="3" w:tplc="0C0A0001" w:tentative="1">
      <w:start w:val="1"/>
      <w:numFmt w:val="bullet"/>
      <w:lvlText w:val=""/>
      <w:lvlJc w:val="left"/>
      <w:pPr>
        <w:tabs>
          <w:tab w:val="num" w:pos="4290"/>
        </w:tabs>
        <w:ind w:left="4290" w:hanging="360"/>
      </w:pPr>
      <w:rPr>
        <w:rFonts w:ascii="Symbol" w:hAnsi="Symbol" w:hint="default"/>
      </w:rPr>
    </w:lvl>
    <w:lvl w:ilvl="4" w:tplc="0C0A0003" w:tentative="1">
      <w:start w:val="1"/>
      <w:numFmt w:val="bullet"/>
      <w:lvlText w:val="o"/>
      <w:lvlJc w:val="left"/>
      <w:pPr>
        <w:tabs>
          <w:tab w:val="num" w:pos="5010"/>
        </w:tabs>
        <w:ind w:left="5010" w:hanging="360"/>
      </w:pPr>
      <w:rPr>
        <w:rFonts w:ascii="Courier New" w:hAnsi="Courier New" w:cs="Courier New" w:hint="default"/>
      </w:rPr>
    </w:lvl>
    <w:lvl w:ilvl="5" w:tplc="0C0A0005" w:tentative="1">
      <w:start w:val="1"/>
      <w:numFmt w:val="bullet"/>
      <w:lvlText w:val=""/>
      <w:lvlJc w:val="left"/>
      <w:pPr>
        <w:tabs>
          <w:tab w:val="num" w:pos="5730"/>
        </w:tabs>
        <w:ind w:left="5730" w:hanging="360"/>
      </w:pPr>
      <w:rPr>
        <w:rFonts w:ascii="Wingdings" w:hAnsi="Wingdings" w:hint="default"/>
      </w:rPr>
    </w:lvl>
    <w:lvl w:ilvl="6" w:tplc="0C0A0001" w:tentative="1">
      <w:start w:val="1"/>
      <w:numFmt w:val="bullet"/>
      <w:lvlText w:val=""/>
      <w:lvlJc w:val="left"/>
      <w:pPr>
        <w:tabs>
          <w:tab w:val="num" w:pos="6450"/>
        </w:tabs>
        <w:ind w:left="6450" w:hanging="360"/>
      </w:pPr>
      <w:rPr>
        <w:rFonts w:ascii="Symbol" w:hAnsi="Symbol" w:hint="default"/>
      </w:rPr>
    </w:lvl>
    <w:lvl w:ilvl="7" w:tplc="0C0A0003" w:tentative="1">
      <w:start w:val="1"/>
      <w:numFmt w:val="bullet"/>
      <w:lvlText w:val="o"/>
      <w:lvlJc w:val="left"/>
      <w:pPr>
        <w:tabs>
          <w:tab w:val="num" w:pos="7170"/>
        </w:tabs>
        <w:ind w:left="7170" w:hanging="360"/>
      </w:pPr>
      <w:rPr>
        <w:rFonts w:ascii="Courier New" w:hAnsi="Courier New" w:cs="Courier New" w:hint="default"/>
      </w:rPr>
    </w:lvl>
    <w:lvl w:ilvl="8" w:tplc="0C0A0005" w:tentative="1">
      <w:start w:val="1"/>
      <w:numFmt w:val="bullet"/>
      <w:lvlText w:val=""/>
      <w:lvlJc w:val="left"/>
      <w:pPr>
        <w:tabs>
          <w:tab w:val="num" w:pos="7890"/>
        </w:tabs>
        <w:ind w:left="7890" w:hanging="360"/>
      </w:pPr>
      <w:rPr>
        <w:rFonts w:ascii="Wingdings" w:hAnsi="Wingdings" w:hint="default"/>
      </w:rPr>
    </w:lvl>
  </w:abstractNum>
  <w:abstractNum w:abstractNumId="3" w15:restartNumberingAfterBreak="0">
    <w:nsid w:val="2BDF4F15"/>
    <w:multiLevelType w:val="hybridMultilevel"/>
    <w:tmpl w:val="1C484A3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5742A2"/>
    <w:multiLevelType w:val="hybridMultilevel"/>
    <w:tmpl w:val="F2343EC0"/>
    <w:lvl w:ilvl="0" w:tplc="0C0A0001">
      <w:start w:val="1"/>
      <w:numFmt w:val="bullet"/>
      <w:lvlText w:val=""/>
      <w:lvlJc w:val="left"/>
      <w:pPr>
        <w:tabs>
          <w:tab w:val="num" w:pos="2130"/>
        </w:tabs>
        <w:ind w:left="2130" w:hanging="360"/>
      </w:pPr>
      <w:rPr>
        <w:rFonts w:ascii="Symbol" w:hAnsi="Symbol" w:hint="default"/>
      </w:rPr>
    </w:lvl>
    <w:lvl w:ilvl="1" w:tplc="0C0A0003" w:tentative="1">
      <w:start w:val="1"/>
      <w:numFmt w:val="bullet"/>
      <w:lvlText w:val="o"/>
      <w:lvlJc w:val="left"/>
      <w:pPr>
        <w:tabs>
          <w:tab w:val="num" w:pos="2850"/>
        </w:tabs>
        <w:ind w:left="2850" w:hanging="360"/>
      </w:pPr>
      <w:rPr>
        <w:rFonts w:ascii="Courier New" w:hAnsi="Courier New" w:cs="Courier New" w:hint="default"/>
      </w:rPr>
    </w:lvl>
    <w:lvl w:ilvl="2" w:tplc="0C0A0005" w:tentative="1">
      <w:start w:val="1"/>
      <w:numFmt w:val="bullet"/>
      <w:lvlText w:val=""/>
      <w:lvlJc w:val="left"/>
      <w:pPr>
        <w:tabs>
          <w:tab w:val="num" w:pos="3570"/>
        </w:tabs>
        <w:ind w:left="3570" w:hanging="360"/>
      </w:pPr>
      <w:rPr>
        <w:rFonts w:ascii="Wingdings" w:hAnsi="Wingdings" w:hint="default"/>
      </w:rPr>
    </w:lvl>
    <w:lvl w:ilvl="3" w:tplc="0C0A0001" w:tentative="1">
      <w:start w:val="1"/>
      <w:numFmt w:val="bullet"/>
      <w:lvlText w:val=""/>
      <w:lvlJc w:val="left"/>
      <w:pPr>
        <w:tabs>
          <w:tab w:val="num" w:pos="4290"/>
        </w:tabs>
        <w:ind w:left="4290" w:hanging="360"/>
      </w:pPr>
      <w:rPr>
        <w:rFonts w:ascii="Symbol" w:hAnsi="Symbol" w:hint="default"/>
      </w:rPr>
    </w:lvl>
    <w:lvl w:ilvl="4" w:tplc="0C0A0003" w:tentative="1">
      <w:start w:val="1"/>
      <w:numFmt w:val="bullet"/>
      <w:lvlText w:val="o"/>
      <w:lvlJc w:val="left"/>
      <w:pPr>
        <w:tabs>
          <w:tab w:val="num" w:pos="5010"/>
        </w:tabs>
        <w:ind w:left="5010" w:hanging="360"/>
      </w:pPr>
      <w:rPr>
        <w:rFonts w:ascii="Courier New" w:hAnsi="Courier New" w:cs="Courier New" w:hint="default"/>
      </w:rPr>
    </w:lvl>
    <w:lvl w:ilvl="5" w:tplc="0C0A0005" w:tentative="1">
      <w:start w:val="1"/>
      <w:numFmt w:val="bullet"/>
      <w:lvlText w:val=""/>
      <w:lvlJc w:val="left"/>
      <w:pPr>
        <w:tabs>
          <w:tab w:val="num" w:pos="5730"/>
        </w:tabs>
        <w:ind w:left="5730" w:hanging="360"/>
      </w:pPr>
      <w:rPr>
        <w:rFonts w:ascii="Wingdings" w:hAnsi="Wingdings" w:hint="default"/>
      </w:rPr>
    </w:lvl>
    <w:lvl w:ilvl="6" w:tplc="0C0A0001" w:tentative="1">
      <w:start w:val="1"/>
      <w:numFmt w:val="bullet"/>
      <w:lvlText w:val=""/>
      <w:lvlJc w:val="left"/>
      <w:pPr>
        <w:tabs>
          <w:tab w:val="num" w:pos="6450"/>
        </w:tabs>
        <w:ind w:left="6450" w:hanging="360"/>
      </w:pPr>
      <w:rPr>
        <w:rFonts w:ascii="Symbol" w:hAnsi="Symbol" w:hint="default"/>
      </w:rPr>
    </w:lvl>
    <w:lvl w:ilvl="7" w:tplc="0C0A0003" w:tentative="1">
      <w:start w:val="1"/>
      <w:numFmt w:val="bullet"/>
      <w:lvlText w:val="o"/>
      <w:lvlJc w:val="left"/>
      <w:pPr>
        <w:tabs>
          <w:tab w:val="num" w:pos="7170"/>
        </w:tabs>
        <w:ind w:left="7170" w:hanging="360"/>
      </w:pPr>
      <w:rPr>
        <w:rFonts w:ascii="Courier New" w:hAnsi="Courier New" w:cs="Courier New" w:hint="default"/>
      </w:rPr>
    </w:lvl>
    <w:lvl w:ilvl="8" w:tplc="0C0A0005" w:tentative="1">
      <w:start w:val="1"/>
      <w:numFmt w:val="bullet"/>
      <w:lvlText w:val=""/>
      <w:lvlJc w:val="left"/>
      <w:pPr>
        <w:tabs>
          <w:tab w:val="num" w:pos="7890"/>
        </w:tabs>
        <w:ind w:left="7890" w:hanging="360"/>
      </w:pPr>
      <w:rPr>
        <w:rFonts w:ascii="Wingdings" w:hAnsi="Wingdings" w:hint="default"/>
      </w:rPr>
    </w:lvl>
  </w:abstractNum>
  <w:abstractNum w:abstractNumId="5" w15:restartNumberingAfterBreak="0">
    <w:nsid w:val="2E610D5C"/>
    <w:multiLevelType w:val="hybridMultilevel"/>
    <w:tmpl w:val="AB34562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398146E"/>
    <w:multiLevelType w:val="hybridMultilevel"/>
    <w:tmpl w:val="DE1A177E"/>
    <w:lvl w:ilvl="0" w:tplc="4A1A40A2">
      <w:start w:val="1"/>
      <w:numFmt w:val="lowerLetter"/>
      <w:lvlText w:val="%1)"/>
      <w:lvlJc w:val="left"/>
      <w:pPr>
        <w:tabs>
          <w:tab w:val="num" w:pos="1980"/>
        </w:tabs>
        <w:ind w:left="1980" w:hanging="360"/>
      </w:pPr>
      <w:rPr>
        <w:rFonts w:hint="default"/>
        <w:i w:val="0"/>
      </w:rPr>
    </w:lvl>
    <w:lvl w:ilvl="1" w:tplc="0C0A0019" w:tentative="1">
      <w:start w:val="1"/>
      <w:numFmt w:val="lowerLetter"/>
      <w:lvlText w:val="%2."/>
      <w:lvlJc w:val="left"/>
      <w:pPr>
        <w:tabs>
          <w:tab w:val="num" w:pos="2700"/>
        </w:tabs>
        <w:ind w:left="2700" w:hanging="360"/>
      </w:pPr>
    </w:lvl>
    <w:lvl w:ilvl="2" w:tplc="0C0A001B" w:tentative="1">
      <w:start w:val="1"/>
      <w:numFmt w:val="lowerRoman"/>
      <w:lvlText w:val="%3."/>
      <w:lvlJc w:val="right"/>
      <w:pPr>
        <w:tabs>
          <w:tab w:val="num" w:pos="3420"/>
        </w:tabs>
        <w:ind w:left="3420" w:hanging="180"/>
      </w:pPr>
    </w:lvl>
    <w:lvl w:ilvl="3" w:tplc="0C0A000F" w:tentative="1">
      <w:start w:val="1"/>
      <w:numFmt w:val="decimal"/>
      <w:lvlText w:val="%4."/>
      <w:lvlJc w:val="left"/>
      <w:pPr>
        <w:tabs>
          <w:tab w:val="num" w:pos="4140"/>
        </w:tabs>
        <w:ind w:left="4140" w:hanging="360"/>
      </w:pPr>
    </w:lvl>
    <w:lvl w:ilvl="4" w:tplc="0C0A0019" w:tentative="1">
      <w:start w:val="1"/>
      <w:numFmt w:val="lowerLetter"/>
      <w:lvlText w:val="%5."/>
      <w:lvlJc w:val="left"/>
      <w:pPr>
        <w:tabs>
          <w:tab w:val="num" w:pos="4860"/>
        </w:tabs>
        <w:ind w:left="4860" w:hanging="360"/>
      </w:pPr>
    </w:lvl>
    <w:lvl w:ilvl="5" w:tplc="0C0A001B" w:tentative="1">
      <w:start w:val="1"/>
      <w:numFmt w:val="lowerRoman"/>
      <w:lvlText w:val="%6."/>
      <w:lvlJc w:val="right"/>
      <w:pPr>
        <w:tabs>
          <w:tab w:val="num" w:pos="5580"/>
        </w:tabs>
        <w:ind w:left="5580" w:hanging="180"/>
      </w:pPr>
    </w:lvl>
    <w:lvl w:ilvl="6" w:tplc="0C0A000F" w:tentative="1">
      <w:start w:val="1"/>
      <w:numFmt w:val="decimal"/>
      <w:lvlText w:val="%7."/>
      <w:lvlJc w:val="left"/>
      <w:pPr>
        <w:tabs>
          <w:tab w:val="num" w:pos="6300"/>
        </w:tabs>
        <w:ind w:left="6300" w:hanging="360"/>
      </w:pPr>
    </w:lvl>
    <w:lvl w:ilvl="7" w:tplc="0C0A0019" w:tentative="1">
      <w:start w:val="1"/>
      <w:numFmt w:val="lowerLetter"/>
      <w:lvlText w:val="%8."/>
      <w:lvlJc w:val="left"/>
      <w:pPr>
        <w:tabs>
          <w:tab w:val="num" w:pos="7020"/>
        </w:tabs>
        <w:ind w:left="7020" w:hanging="360"/>
      </w:pPr>
    </w:lvl>
    <w:lvl w:ilvl="8" w:tplc="0C0A001B" w:tentative="1">
      <w:start w:val="1"/>
      <w:numFmt w:val="lowerRoman"/>
      <w:lvlText w:val="%9."/>
      <w:lvlJc w:val="right"/>
      <w:pPr>
        <w:tabs>
          <w:tab w:val="num" w:pos="7740"/>
        </w:tabs>
        <w:ind w:left="7740" w:hanging="180"/>
      </w:pPr>
    </w:lvl>
  </w:abstractNum>
  <w:abstractNum w:abstractNumId="7" w15:restartNumberingAfterBreak="0">
    <w:nsid w:val="39E12DB1"/>
    <w:multiLevelType w:val="multilevel"/>
    <w:tmpl w:val="534043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B155FBF"/>
    <w:multiLevelType w:val="hybridMultilevel"/>
    <w:tmpl w:val="FF724820"/>
    <w:lvl w:ilvl="0" w:tplc="C2BC3558">
      <w:start w:val="4"/>
      <w:numFmt w:val="decimal"/>
      <w:lvlText w:val="%1."/>
      <w:lvlJc w:val="left"/>
      <w:pPr>
        <w:tabs>
          <w:tab w:val="num" w:pos="2130"/>
        </w:tabs>
        <w:ind w:left="2130" w:hanging="360"/>
      </w:pPr>
      <w:rPr>
        <w:rFonts w:hint="default"/>
      </w:rPr>
    </w:lvl>
    <w:lvl w:ilvl="1" w:tplc="0C0A0019" w:tentative="1">
      <w:start w:val="1"/>
      <w:numFmt w:val="lowerLetter"/>
      <w:lvlText w:val="%2."/>
      <w:lvlJc w:val="left"/>
      <w:pPr>
        <w:tabs>
          <w:tab w:val="num" w:pos="2850"/>
        </w:tabs>
        <w:ind w:left="2850" w:hanging="360"/>
      </w:pPr>
    </w:lvl>
    <w:lvl w:ilvl="2" w:tplc="0C0A001B" w:tentative="1">
      <w:start w:val="1"/>
      <w:numFmt w:val="lowerRoman"/>
      <w:lvlText w:val="%3."/>
      <w:lvlJc w:val="right"/>
      <w:pPr>
        <w:tabs>
          <w:tab w:val="num" w:pos="3570"/>
        </w:tabs>
        <w:ind w:left="3570" w:hanging="180"/>
      </w:pPr>
    </w:lvl>
    <w:lvl w:ilvl="3" w:tplc="0C0A000F" w:tentative="1">
      <w:start w:val="1"/>
      <w:numFmt w:val="decimal"/>
      <w:lvlText w:val="%4."/>
      <w:lvlJc w:val="left"/>
      <w:pPr>
        <w:tabs>
          <w:tab w:val="num" w:pos="4290"/>
        </w:tabs>
        <w:ind w:left="4290" w:hanging="360"/>
      </w:pPr>
    </w:lvl>
    <w:lvl w:ilvl="4" w:tplc="0C0A0019" w:tentative="1">
      <w:start w:val="1"/>
      <w:numFmt w:val="lowerLetter"/>
      <w:lvlText w:val="%5."/>
      <w:lvlJc w:val="left"/>
      <w:pPr>
        <w:tabs>
          <w:tab w:val="num" w:pos="5010"/>
        </w:tabs>
        <w:ind w:left="5010" w:hanging="360"/>
      </w:pPr>
    </w:lvl>
    <w:lvl w:ilvl="5" w:tplc="0C0A001B" w:tentative="1">
      <w:start w:val="1"/>
      <w:numFmt w:val="lowerRoman"/>
      <w:lvlText w:val="%6."/>
      <w:lvlJc w:val="right"/>
      <w:pPr>
        <w:tabs>
          <w:tab w:val="num" w:pos="5730"/>
        </w:tabs>
        <w:ind w:left="5730" w:hanging="180"/>
      </w:pPr>
    </w:lvl>
    <w:lvl w:ilvl="6" w:tplc="0C0A000F" w:tentative="1">
      <w:start w:val="1"/>
      <w:numFmt w:val="decimal"/>
      <w:lvlText w:val="%7."/>
      <w:lvlJc w:val="left"/>
      <w:pPr>
        <w:tabs>
          <w:tab w:val="num" w:pos="6450"/>
        </w:tabs>
        <w:ind w:left="6450" w:hanging="360"/>
      </w:pPr>
    </w:lvl>
    <w:lvl w:ilvl="7" w:tplc="0C0A0019" w:tentative="1">
      <w:start w:val="1"/>
      <w:numFmt w:val="lowerLetter"/>
      <w:lvlText w:val="%8."/>
      <w:lvlJc w:val="left"/>
      <w:pPr>
        <w:tabs>
          <w:tab w:val="num" w:pos="7170"/>
        </w:tabs>
        <w:ind w:left="7170" w:hanging="360"/>
      </w:pPr>
    </w:lvl>
    <w:lvl w:ilvl="8" w:tplc="0C0A001B" w:tentative="1">
      <w:start w:val="1"/>
      <w:numFmt w:val="lowerRoman"/>
      <w:lvlText w:val="%9."/>
      <w:lvlJc w:val="right"/>
      <w:pPr>
        <w:tabs>
          <w:tab w:val="num" w:pos="7890"/>
        </w:tabs>
        <w:ind w:left="7890" w:hanging="180"/>
      </w:pPr>
    </w:lvl>
  </w:abstractNum>
  <w:abstractNum w:abstractNumId="9" w15:restartNumberingAfterBreak="0">
    <w:nsid w:val="408448A5"/>
    <w:multiLevelType w:val="hybridMultilevel"/>
    <w:tmpl w:val="6FE40BB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6805835"/>
    <w:multiLevelType w:val="multilevel"/>
    <w:tmpl w:val="7C9CEA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3D84E5D"/>
    <w:multiLevelType w:val="hybridMultilevel"/>
    <w:tmpl w:val="9CB4281A"/>
    <w:lvl w:ilvl="0" w:tplc="0C0A000F">
      <w:start w:val="1"/>
      <w:numFmt w:val="decimal"/>
      <w:lvlText w:val="%1."/>
      <w:lvlJc w:val="left"/>
      <w:pPr>
        <w:tabs>
          <w:tab w:val="num" w:pos="2130"/>
        </w:tabs>
        <w:ind w:left="2130" w:hanging="360"/>
      </w:pPr>
    </w:lvl>
    <w:lvl w:ilvl="1" w:tplc="0C0A0019" w:tentative="1">
      <w:start w:val="1"/>
      <w:numFmt w:val="lowerLetter"/>
      <w:lvlText w:val="%2."/>
      <w:lvlJc w:val="left"/>
      <w:pPr>
        <w:tabs>
          <w:tab w:val="num" w:pos="2850"/>
        </w:tabs>
        <w:ind w:left="2850" w:hanging="360"/>
      </w:pPr>
    </w:lvl>
    <w:lvl w:ilvl="2" w:tplc="0C0A001B" w:tentative="1">
      <w:start w:val="1"/>
      <w:numFmt w:val="lowerRoman"/>
      <w:lvlText w:val="%3."/>
      <w:lvlJc w:val="right"/>
      <w:pPr>
        <w:tabs>
          <w:tab w:val="num" w:pos="3570"/>
        </w:tabs>
        <w:ind w:left="3570" w:hanging="180"/>
      </w:pPr>
    </w:lvl>
    <w:lvl w:ilvl="3" w:tplc="0C0A000F" w:tentative="1">
      <w:start w:val="1"/>
      <w:numFmt w:val="decimal"/>
      <w:lvlText w:val="%4."/>
      <w:lvlJc w:val="left"/>
      <w:pPr>
        <w:tabs>
          <w:tab w:val="num" w:pos="4290"/>
        </w:tabs>
        <w:ind w:left="4290" w:hanging="360"/>
      </w:pPr>
    </w:lvl>
    <w:lvl w:ilvl="4" w:tplc="0C0A0019" w:tentative="1">
      <w:start w:val="1"/>
      <w:numFmt w:val="lowerLetter"/>
      <w:lvlText w:val="%5."/>
      <w:lvlJc w:val="left"/>
      <w:pPr>
        <w:tabs>
          <w:tab w:val="num" w:pos="5010"/>
        </w:tabs>
        <w:ind w:left="5010" w:hanging="360"/>
      </w:pPr>
    </w:lvl>
    <w:lvl w:ilvl="5" w:tplc="0C0A001B" w:tentative="1">
      <w:start w:val="1"/>
      <w:numFmt w:val="lowerRoman"/>
      <w:lvlText w:val="%6."/>
      <w:lvlJc w:val="right"/>
      <w:pPr>
        <w:tabs>
          <w:tab w:val="num" w:pos="5730"/>
        </w:tabs>
        <w:ind w:left="5730" w:hanging="180"/>
      </w:pPr>
    </w:lvl>
    <w:lvl w:ilvl="6" w:tplc="0C0A000F" w:tentative="1">
      <w:start w:val="1"/>
      <w:numFmt w:val="decimal"/>
      <w:lvlText w:val="%7."/>
      <w:lvlJc w:val="left"/>
      <w:pPr>
        <w:tabs>
          <w:tab w:val="num" w:pos="6450"/>
        </w:tabs>
        <w:ind w:left="6450" w:hanging="360"/>
      </w:pPr>
    </w:lvl>
    <w:lvl w:ilvl="7" w:tplc="0C0A0019" w:tentative="1">
      <w:start w:val="1"/>
      <w:numFmt w:val="lowerLetter"/>
      <w:lvlText w:val="%8."/>
      <w:lvlJc w:val="left"/>
      <w:pPr>
        <w:tabs>
          <w:tab w:val="num" w:pos="7170"/>
        </w:tabs>
        <w:ind w:left="7170" w:hanging="360"/>
      </w:pPr>
    </w:lvl>
    <w:lvl w:ilvl="8" w:tplc="0C0A001B" w:tentative="1">
      <w:start w:val="1"/>
      <w:numFmt w:val="lowerRoman"/>
      <w:lvlText w:val="%9."/>
      <w:lvlJc w:val="right"/>
      <w:pPr>
        <w:tabs>
          <w:tab w:val="num" w:pos="7890"/>
        </w:tabs>
        <w:ind w:left="7890" w:hanging="180"/>
      </w:pPr>
    </w:lvl>
  </w:abstractNum>
  <w:abstractNum w:abstractNumId="12" w15:restartNumberingAfterBreak="0">
    <w:nsid w:val="56EB3F0B"/>
    <w:multiLevelType w:val="hybridMultilevel"/>
    <w:tmpl w:val="266EA918"/>
    <w:lvl w:ilvl="0" w:tplc="43DCA602">
      <w:start w:val="1"/>
      <w:numFmt w:val="bullet"/>
      <w:lvlText w:val="-"/>
      <w:lvlJc w:val="left"/>
      <w:pPr>
        <w:tabs>
          <w:tab w:val="num" w:pos="1965"/>
        </w:tabs>
        <w:ind w:left="1965" w:hanging="525"/>
      </w:pPr>
      <w:rPr>
        <w:rFonts w:ascii="Arial" w:eastAsia="Times New Roman" w:hAnsi="Arial" w:cs="Arial"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6075270F"/>
    <w:multiLevelType w:val="multilevel"/>
    <w:tmpl w:val="65A84B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54606DD"/>
    <w:multiLevelType w:val="hybridMultilevel"/>
    <w:tmpl w:val="971C71FE"/>
    <w:lvl w:ilvl="0" w:tplc="A3B24FD8">
      <w:start w:val="1"/>
      <w:numFmt w:val="decimal"/>
      <w:lvlText w:val="%1."/>
      <w:lvlJc w:val="left"/>
      <w:pPr>
        <w:tabs>
          <w:tab w:val="num" w:pos="2340"/>
        </w:tabs>
        <w:ind w:left="2340" w:hanging="360"/>
      </w:pPr>
      <w:rPr>
        <w:rFonts w:hint="default"/>
      </w:rPr>
    </w:lvl>
    <w:lvl w:ilvl="1" w:tplc="0C0A0019" w:tentative="1">
      <w:start w:val="1"/>
      <w:numFmt w:val="lowerLetter"/>
      <w:lvlText w:val="%2."/>
      <w:lvlJc w:val="left"/>
      <w:pPr>
        <w:tabs>
          <w:tab w:val="num" w:pos="3060"/>
        </w:tabs>
        <w:ind w:left="3060" w:hanging="360"/>
      </w:pPr>
    </w:lvl>
    <w:lvl w:ilvl="2" w:tplc="0C0A001B" w:tentative="1">
      <w:start w:val="1"/>
      <w:numFmt w:val="lowerRoman"/>
      <w:lvlText w:val="%3."/>
      <w:lvlJc w:val="right"/>
      <w:pPr>
        <w:tabs>
          <w:tab w:val="num" w:pos="3780"/>
        </w:tabs>
        <w:ind w:left="3780" w:hanging="180"/>
      </w:pPr>
    </w:lvl>
    <w:lvl w:ilvl="3" w:tplc="0C0A000F" w:tentative="1">
      <w:start w:val="1"/>
      <w:numFmt w:val="decimal"/>
      <w:lvlText w:val="%4."/>
      <w:lvlJc w:val="left"/>
      <w:pPr>
        <w:tabs>
          <w:tab w:val="num" w:pos="4500"/>
        </w:tabs>
        <w:ind w:left="4500" w:hanging="360"/>
      </w:pPr>
    </w:lvl>
    <w:lvl w:ilvl="4" w:tplc="0C0A0019" w:tentative="1">
      <w:start w:val="1"/>
      <w:numFmt w:val="lowerLetter"/>
      <w:lvlText w:val="%5."/>
      <w:lvlJc w:val="left"/>
      <w:pPr>
        <w:tabs>
          <w:tab w:val="num" w:pos="5220"/>
        </w:tabs>
        <w:ind w:left="5220" w:hanging="360"/>
      </w:pPr>
    </w:lvl>
    <w:lvl w:ilvl="5" w:tplc="0C0A001B" w:tentative="1">
      <w:start w:val="1"/>
      <w:numFmt w:val="lowerRoman"/>
      <w:lvlText w:val="%6."/>
      <w:lvlJc w:val="right"/>
      <w:pPr>
        <w:tabs>
          <w:tab w:val="num" w:pos="5940"/>
        </w:tabs>
        <w:ind w:left="5940" w:hanging="180"/>
      </w:pPr>
    </w:lvl>
    <w:lvl w:ilvl="6" w:tplc="0C0A000F" w:tentative="1">
      <w:start w:val="1"/>
      <w:numFmt w:val="decimal"/>
      <w:lvlText w:val="%7."/>
      <w:lvlJc w:val="left"/>
      <w:pPr>
        <w:tabs>
          <w:tab w:val="num" w:pos="6660"/>
        </w:tabs>
        <w:ind w:left="6660" w:hanging="360"/>
      </w:pPr>
    </w:lvl>
    <w:lvl w:ilvl="7" w:tplc="0C0A0019" w:tentative="1">
      <w:start w:val="1"/>
      <w:numFmt w:val="lowerLetter"/>
      <w:lvlText w:val="%8."/>
      <w:lvlJc w:val="left"/>
      <w:pPr>
        <w:tabs>
          <w:tab w:val="num" w:pos="7380"/>
        </w:tabs>
        <w:ind w:left="7380" w:hanging="360"/>
      </w:pPr>
    </w:lvl>
    <w:lvl w:ilvl="8" w:tplc="0C0A001B" w:tentative="1">
      <w:start w:val="1"/>
      <w:numFmt w:val="lowerRoman"/>
      <w:lvlText w:val="%9."/>
      <w:lvlJc w:val="right"/>
      <w:pPr>
        <w:tabs>
          <w:tab w:val="num" w:pos="8100"/>
        </w:tabs>
        <w:ind w:left="8100" w:hanging="180"/>
      </w:pPr>
    </w:lvl>
  </w:abstractNum>
  <w:abstractNum w:abstractNumId="15" w15:restartNumberingAfterBreak="0">
    <w:nsid w:val="76951286"/>
    <w:multiLevelType w:val="hybridMultilevel"/>
    <w:tmpl w:val="DA466646"/>
    <w:lvl w:ilvl="0" w:tplc="0B3E9DF8">
      <w:start w:val="1"/>
      <w:numFmt w:val="decimal"/>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6" w15:restartNumberingAfterBreak="0">
    <w:nsid w:val="7AA96890"/>
    <w:multiLevelType w:val="hybridMultilevel"/>
    <w:tmpl w:val="DBFC058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9"/>
  </w:num>
  <w:num w:numId="3">
    <w:abstractNumId w:val="11"/>
  </w:num>
  <w:num w:numId="4">
    <w:abstractNumId w:val="15"/>
  </w:num>
  <w:num w:numId="5">
    <w:abstractNumId w:val="6"/>
  </w:num>
  <w:num w:numId="6">
    <w:abstractNumId w:val="12"/>
  </w:num>
  <w:num w:numId="7">
    <w:abstractNumId w:val="2"/>
  </w:num>
  <w:num w:numId="8">
    <w:abstractNumId w:val="4"/>
  </w:num>
  <w:num w:numId="9">
    <w:abstractNumId w:val="14"/>
  </w:num>
  <w:num w:numId="10">
    <w:abstractNumId w:val="8"/>
  </w:num>
  <w:num w:numId="11">
    <w:abstractNumId w:val="0"/>
  </w:num>
  <w:num w:numId="12">
    <w:abstractNumId w:val="3"/>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7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C15"/>
    <w:rsid w:val="00004479"/>
    <w:rsid w:val="00004789"/>
    <w:rsid w:val="00004B68"/>
    <w:rsid w:val="00007B64"/>
    <w:rsid w:val="000103C5"/>
    <w:rsid w:val="0001062F"/>
    <w:rsid w:val="000127A7"/>
    <w:rsid w:val="0001281A"/>
    <w:rsid w:val="0002071A"/>
    <w:rsid w:val="0002413F"/>
    <w:rsid w:val="000251BB"/>
    <w:rsid w:val="00043211"/>
    <w:rsid w:val="00045AF7"/>
    <w:rsid w:val="0005141F"/>
    <w:rsid w:val="0005306F"/>
    <w:rsid w:val="00061FF8"/>
    <w:rsid w:val="00063E03"/>
    <w:rsid w:val="0006402A"/>
    <w:rsid w:val="000710F8"/>
    <w:rsid w:val="000741AC"/>
    <w:rsid w:val="00074275"/>
    <w:rsid w:val="00074528"/>
    <w:rsid w:val="0008433C"/>
    <w:rsid w:val="000846F3"/>
    <w:rsid w:val="00087B6C"/>
    <w:rsid w:val="000925DB"/>
    <w:rsid w:val="00094875"/>
    <w:rsid w:val="00095B25"/>
    <w:rsid w:val="000A16FD"/>
    <w:rsid w:val="000C5C4F"/>
    <w:rsid w:val="000C7615"/>
    <w:rsid w:val="000D3BBC"/>
    <w:rsid w:val="000D5D82"/>
    <w:rsid w:val="000D77A8"/>
    <w:rsid w:val="000E0205"/>
    <w:rsid w:val="000F0E77"/>
    <w:rsid w:val="000F26C5"/>
    <w:rsid w:val="00110D9D"/>
    <w:rsid w:val="00111E71"/>
    <w:rsid w:val="00112138"/>
    <w:rsid w:val="00115538"/>
    <w:rsid w:val="0011586D"/>
    <w:rsid w:val="00117B1D"/>
    <w:rsid w:val="00125317"/>
    <w:rsid w:val="00132DB9"/>
    <w:rsid w:val="00134399"/>
    <w:rsid w:val="00140CF2"/>
    <w:rsid w:val="00142FC4"/>
    <w:rsid w:val="0017022E"/>
    <w:rsid w:val="0017225E"/>
    <w:rsid w:val="0017568F"/>
    <w:rsid w:val="001769CF"/>
    <w:rsid w:val="00182E92"/>
    <w:rsid w:val="00192CDA"/>
    <w:rsid w:val="0019629F"/>
    <w:rsid w:val="001A592E"/>
    <w:rsid w:val="001B0576"/>
    <w:rsid w:val="001C2B1A"/>
    <w:rsid w:val="001C393F"/>
    <w:rsid w:val="001D2224"/>
    <w:rsid w:val="001D5E55"/>
    <w:rsid w:val="001E183C"/>
    <w:rsid w:val="001E5EEB"/>
    <w:rsid w:val="0020339F"/>
    <w:rsid w:val="00207D08"/>
    <w:rsid w:val="00211675"/>
    <w:rsid w:val="002130CD"/>
    <w:rsid w:val="00215B66"/>
    <w:rsid w:val="002164CB"/>
    <w:rsid w:val="00216CA5"/>
    <w:rsid w:val="0021706E"/>
    <w:rsid w:val="00220A15"/>
    <w:rsid w:val="00223757"/>
    <w:rsid w:val="002307EC"/>
    <w:rsid w:val="00232066"/>
    <w:rsid w:val="002327C9"/>
    <w:rsid w:val="002434EF"/>
    <w:rsid w:val="00246697"/>
    <w:rsid w:val="00246EDE"/>
    <w:rsid w:val="00250416"/>
    <w:rsid w:val="00267139"/>
    <w:rsid w:val="00275380"/>
    <w:rsid w:val="002846B0"/>
    <w:rsid w:val="00290F12"/>
    <w:rsid w:val="002926ED"/>
    <w:rsid w:val="00294636"/>
    <w:rsid w:val="00295FBB"/>
    <w:rsid w:val="002A5C03"/>
    <w:rsid w:val="002A6219"/>
    <w:rsid w:val="002B0175"/>
    <w:rsid w:val="002B128F"/>
    <w:rsid w:val="002B2ACB"/>
    <w:rsid w:val="002B6992"/>
    <w:rsid w:val="002C3855"/>
    <w:rsid w:val="002C63A4"/>
    <w:rsid w:val="002C66F5"/>
    <w:rsid w:val="002D17E3"/>
    <w:rsid w:val="002D39D6"/>
    <w:rsid w:val="002D5F33"/>
    <w:rsid w:val="002E2077"/>
    <w:rsid w:val="002E2ECF"/>
    <w:rsid w:val="002E7A80"/>
    <w:rsid w:val="002F13E4"/>
    <w:rsid w:val="00314E7B"/>
    <w:rsid w:val="0031784D"/>
    <w:rsid w:val="00321B06"/>
    <w:rsid w:val="00324C8A"/>
    <w:rsid w:val="00342DFA"/>
    <w:rsid w:val="0035027E"/>
    <w:rsid w:val="00367538"/>
    <w:rsid w:val="00373C15"/>
    <w:rsid w:val="0037647B"/>
    <w:rsid w:val="00382027"/>
    <w:rsid w:val="003900F1"/>
    <w:rsid w:val="00391220"/>
    <w:rsid w:val="00394979"/>
    <w:rsid w:val="00395E7A"/>
    <w:rsid w:val="00397E86"/>
    <w:rsid w:val="00397EF9"/>
    <w:rsid w:val="003A08EB"/>
    <w:rsid w:val="003A194E"/>
    <w:rsid w:val="003A4483"/>
    <w:rsid w:val="003B056E"/>
    <w:rsid w:val="003B1ED5"/>
    <w:rsid w:val="003C3171"/>
    <w:rsid w:val="003C6B46"/>
    <w:rsid w:val="003D57E2"/>
    <w:rsid w:val="003D62F8"/>
    <w:rsid w:val="003E2A22"/>
    <w:rsid w:val="003E4EF5"/>
    <w:rsid w:val="003E78F4"/>
    <w:rsid w:val="003F0C57"/>
    <w:rsid w:val="003F4654"/>
    <w:rsid w:val="004016B1"/>
    <w:rsid w:val="00401906"/>
    <w:rsid w:val="00404D27"/>
    <w:rsid w:val="00406D4D"/>
    <w:rsid w:val="004100E4"/>
    <w:rsid w:val="004141F4"/>
    <w:rsid w:val="00416526"/>
    <w:rsid w:val="0042369D"/>
    <w:rsid w:val="00424015"/>
    <w:rsid w:val="00426FF2"/>
    <w:rsid w:val="0042726D"/>
    <w:rsid w:val="004305C0"/>
    <w:rsid w:val="00430BF1"/>
    <w:rsid w:val="00432967"/>
    <w:rsid w:val="004351D2"/>
    <w:rsid w:val="004366F0"/>
    <w:rsid w:val="004375C4"/>
    <w:rsid w:val="004459C0"/>
    <w:rsid w:val="00447349"/>
    <w:rsid w:val="0045340C"/>
    <w:rsid w:val="00457425"/>
    <w:rsid w:val="004722F0"/>
    <w:rsid w:val="00475285"/>
    <w:rsid w:val="0048010E"/>
    <w:rsid w:val="004814A7"/>
    <w:rsid w:val="004828BC"/>
    <w:rsid w:val="00483D88"/>
    <w:rsid w:val="00486001"/>
    <w:rsid w:val="00494CE9"/>
    <w:rsid w:val="00496156"/>
    <w:rsid w:val="00497B79"/>
    <w:rsid w:val="004A1D62"/>
    <w:rsid w:val="004A233D"/>
    <w:rsid w:val="004A7581"/>
    <w:rsid w:val="004B1B82"/>
    <w:rsid w:val="004B54E3"/>
    <w:rsid w:val="004C2A9A"/>
    <w:rsid w:val="004C33B6"/>
    <w:rsid w:val="004C54D0"/>
    <w:rsid w:val="004C72AF"/>
    <w:rsid w:val="004D7E25"/>
    <w:rsid w:val="004E0D2F"/>
    <w:rsid w:val="004E173B"/>
    <w:rsid w:val="004E7643"/>
    <w:rsid w:val="00506414"/>
    <w:rsid w:val="00510918"/>
    <w:rsid w:val="00516F9C"/>
    <w:rsid w:val="005231E9"/>
    <w:rsid w:val="005232AD"/>
    <w:rsid w:val="00525821"/>
    <w:rsid w:val="0053587F"/>
    <w:rsid w:val="005364AF"/>
    <w:rsid w:val="005529F9"/>
    <w:rsid w:val="00553696"/>
    <w:rsid w:val="00564A4B"/>
    <w:rsid w:val="00564FF5"/>
    <w:rsid w:val="00571C26"/>
    <w:rsid w:val="00577C31"/>
    <w:rsid w:val="00580517"/>
    <w:rsid w:val="00584EE9"/>
    <w:rsid w:val="0059799A"/>
    <w:rsid w:val="005A1841"/>
    <w:rsid w:val="005A32F7"/>
    <w:rsid w:val="005A497F"/>
    <w:rsid w:val="005B11AD"/>
    <w:rsid w:val="005C0355"/>
    <w:rsid w:val="005C5617"/>
    <w:rsid w:val="005D01F7"/>
    <w:rsid w:val="005D2174"/>
    <w:rsid w:val="005D3173"/>
    <w:rsid w:val="005E77D9"/>
    <w:rsid w:val="005F29F3"/>
    <w:rsid w:val="005F6B89"/>
    <w:rsid w:val="005F760A"/>
    <w:rsid w:val="006030EB"/>
    <w:rsid w:val="00605A28"/>
    <w:rsid w:val="006144CB"/>
    <w:rsid w:val="00622C3E"/>
    <w:rsid w:val="006236AC"/>
    <w:rsid w:val="00627CAB"/>
    <w:rsid w:val="00632A26"/>
    <w:rsid w:val="006347E5"/>
    <w:rsid w:val="006437E8"/>
    <w:rsid w:val="00646930"/>
    <w:rsid w:val="006537B9"/>
    <w:rsid w:val="00660864"/>
    <w:rsid w:val="00673165"/>
    <w:rsid w:val="006750D7"/>
    <w:rsid w:val="00675D63"/>
    <w:rsid w:val="00687767"/>
    <w:rsid w:val="006936E5"/>
    <w:rsid w:val="006A18EF"/>
    <w:rsid w:val="006A30E2"/>
    <w:rsid w:val="006B7C6E"/>
    <w:rsid w:val="006C1840"/>
    <w:rsid w:val="006D27C9"/>
    <w:rsid w:val="006D4492"/>
    <w:rsid w:val="006D5562"/>
    <w:rsid w:val="006D6074"/>
    <w:rsid w:val="006F6C49"/>
    <w:rsid w:val="007026EB"/>
    <w:rsid w:val="00706B23"/>
    <w:rsid w:val="00720B21"/>
    <w:rsid w:val="007212CB"/>
    <w:rsid w:val="0072498A"/>
    <w:rsid w:val="007255AC"/>
    <w:rsid w:val="00725FC4"/>
    <w:rsid w:val="007274C3"/>
    <w:rsid w:val="00727EED"/>
    <w:rsid w:val="0073211A"/>
    <w:rsid w:val="00732492"/>
    <w:rsid w:val="00735D01"/>
    <w:rsid w:val="007420F6"/>
    <w:rsid w:val="00744BCD"/>
    <w:rsid w:val="007548AE"/>
    <w:rsid w:val="00760C77"/>
    <w:rsid w:val="00771C88"/>
    <w:rsid w:val="007741D1"/>
    <w:rsid w:val="007764A3"/>
    <w:rsid w:val="0077664C"/>
    <w:rsid w:val="00780322"/>
    <w:rsid w:val="007805BD"/>
    <w:rsid w:val="00787FA7"/>
    <w:rsid w:val="00794A3A"/>
    <w:rsid w:val="0079527D"/>
    <w:rsid w:val="0079769F"/>
    <w:rsid w:val="007A58B1"/>
    <w:rsid w:val="007B1CAB"/>
    <w:rsid w:val="007B4BC1"/>
    <w:rsid w:val="007C5A5E"/>
    <w:rsid w:val="007C6AF6"/>
    <w:rsid w:val="007C702E"/>
    <w:rsid w:val="007D07B0"/>
    <w:rsid w:val="007D170C"/>
    <w:rsid w:val="007E3D48"/>
    <w:rsid w:val="007F392E"/>
    <w:rsid w:val="007F58E6"/>
    <w:rsid w:val="007F7897"/>
    <w:rsid w:val="0080087F"/>
    <w:rsid w:val="00803BBE"/>
    <w:rsid w:val="00803C69"/>
    <w:rsid w:val="00806257"/>
    <w:rsid w:val="0081222C"/>
    <w:rsid w:val="0082419B"/>
    <w:rsid w:val="0082468B"/>
    <w:rsid w:val="008253E8"/>
    <w:rsid w:val="00825C0A"/>
    <w:rsid w:val="00832F42"/>
    <w:rsid w:val="00835A5A"/>
    <w:rsid w:val="0084234F"/>
    <w:rsid w:val="00857EB8"/>
    <w:rsid w:val="00862139"/>
    <w:rsid w:val="008675F9"/>
    <w:rsid w:val="00867893"/>
    <w:rsid w:val="00867D17"/>
    <w:rsid w:val="00884F79"/>
    <w:rsid w:val="008864F2"/>
    <w:rsid w:val="008939D6"/>
    <w:rsid w:val="008941DF"/>
    <w:rsid w:val="00897E9B"/>
    <w:rsid w:val="008A23B0"/>
    <w:rsid w:val="008A3787"/>
    <w:rsid w:val="008A6CFC"/>
    <w:rsid w:val="008A7A3D"/>
    <w:rsid w:val="008B42BF"/>
    <w:rsid w:val="008B42DD"/>
    <w:rsid w:val="008C15AF"/>
    <w:rsid w:val="008C420F"/>
    <w:rsid w:val="008C4636"/>
    <w:rsid w:val="008D4360"/>
    <w:rsid w:val="008D69D0"/>
    <w:rsid w:val="008E4B93"/>
    <w:rsid w:val="008E6BB9"/>
    <w:rsid w:val="008F0B17"/>
    <w:rsid w:val="008F162A"/>
    <w:rsid w:val="008F20DF"/>
    <w:rsid w:val="00901053"/>
    <w:rsid w:val="0091597F"/>
    <w:rsid w:val="009159C0"/>
    <w:rsid w:val="00926629"/>
    <w:rsid w:val="009315FF"/>
    <w:rsid w:val="00931ACF"/>
    <w:rsid w:val="00934B1C"/>
    <w:rsid w:val="0093503A"/>
    <w:rsid w:val="009364A6"/>
    <w:rsid w:val="009403EF"/>
    <w:rsid w:val="00941D19"/>
    <w:rsid w:val="00956D4F"/>
    <w:rsid w:val="009661E3"/>
    <w:rsid w:val="00972B75"/>
    <w:rsid w:val="0097326B"/>
    <w:rsid w:val="009819FD"/>
    <w:rsid w:val="009828DD"/>
    <w:rsid w:val="009854FE"/>
    <w:rsid w:val="009865B3"/>
    <w:rsid w:val="00994E24"/>
    <w:rsid w:val="009A3732"/>
    <w:rsid w:val="009A6A8D"/>
    <w:rsid w:val="009B0DC2"/>
    <w:rsid w:val="009B10E1"/>
    <w:rsid w:val="009B38D6"/>
    <w:rsid w:val="009C19B4"/>
    <w:rsid w:val="009C268E"/>
    <w:rsid w:val="009C5EE2"/>
    <w:rsid w:val="009C71AD"/>
    <w:rsid w:val="009D0D70"/>
    <w:rsid w:val="009D0FE9"/>
    <w:rsid w:val="009D5268"/>
    <w:rsid w:val="009E104A"/>
    <w:rsid w:val="009F1C9C"/>
    <w:rsid w:val="009F338E"/>
    <w:rsid w:val="009F3CD8"/>
    <w:rsid w:val="009F73CD"/>
    <w:rsid w:val="00A0109D"/>
    <w:rsid w:val="00A01902"/>
    <w:rsid w:val="00A02D73"/>
    <w:rsid w:val="00A10872"/>
    <w:rsid w:val="00A14F9A"/>
    <w:rsid w:val="00A201E4"/>
    <w:rsid w:val="00A23F48"/>
    <w:rsid w:val="00A25AD5"/>
    <w:rsid w:val="00A2743B"/>
    <w:rsid w:val="00A33355"/>
    <w:rsid w:val="00A34136"/>
    <w:rsid w:val="00A35F81"/>
    <w:rsid w:val="00A525DF"/>
    <w:rsid w:val="00A52962"/>
    <w:rsid w:val="00A7320C"/>
    <w:rsid w:val="00A876E4"/>
    <w:rsid w:val="00AA1253"/>
    <w:rsid w:val="00AA602E"/>
    <w:rsid w:val="00AB2170"/>
    <w:rsid w:val="00AB4E33"/>
    <w:rsid w:val="00AC2638"/>
    <w:rsid w:val="00AC7AFC"/>
    <w:rsid w:val="00AD31FA"/>
    <w:rsid w:val="00AE3F4E"/>
    <w:rsid w:val="00AE7E01"/>
    <w:rsid w:val="00AF7179"/>
    <w:rsid w:val="00B05374"/>
    <w:rsid w:val="00B064BB"/>
    <w:rsid w:val="00B07935"/>
    <w:rsid w:val="00B12095"/>
    <w:rsid w:val="00B14C3C"/>
    <w:rsid w:val="00B170C1"/>
    <w:rsid w:val="00B22369"/>
    <w:rsid w:val="00B24DB5"/>
    <w:rsid w:val="00B35EF4"/>
    <w:rsid w:val="00B37A78"/>
    <w:rsid w:val="00B41D51"/>
    <w:rsid w:val="00B420E6"/>
    <w:rsid w:val="00B42390"/>
    <w:rsid w:val="00B4709E"/>
    <w:rsid w:val="00B50B0F"/>
    <w:rsid w:val="00B51738"/>
    <w:rsid w:val="00B633C4"/>
    <w:rsid w:val="00B64628"/>
    <w:rsid w:val="00B71C78"/>
    <w:rsid w:val="00B9186F"/>
    <w:rsid w:val="00B91C08"/>
    <w:rsid w:val="00BA7199"/>
    <w:rsid w:val="00BD1287"/>
    <w:rsid w:val="00BD16E9"/>
    <w:rsid w:val="00BD3A31"/>
    <w:rsid w:val="00BD445B"/>
    <w:rsid w:val="00BD454D"/>
    <w:rsid w:val="00BE56C6"/>
    <w:rsid w:val="00BE7975"/>
    <w:rsid w:val="00BF3CE0"/>
    <w:rsid w:val="00C02BC8"/>
    <w:rsid w:val="00C03039"/>
    <w:rsid w:val="00C05B09"/>
    <w:rsid w:val="00C05D1D"/>
    <w:rsid w:val="00C12FA3"/>
    <w:rsid w:val="00C17579"/>
    <w:rsid w:val="00C205E0"/>
    <w:rsid w:val="00C20F30"/>
    <w:rsid w:val="00C21743"/>
    <w:rsid w:val="00C313CE"/>
    <w:rsid w:val="00C3398A"/>
    <w:rsid w:val="00C339B5"/>
    <w:rsid w:val="00C365AE"/>
    <w:rsid w:val="00C460E9"/>
    <w:rsid w:val="00C52D4B"/>
    <w:rsid w:val="00C608B5"/>
    <w:rsid w:val="00C60CAF"/>
    <w:rsid w:val="00C60FED"/>
    <w:rsid w:val="00C676F2"/>
    <w:rsid w:val="00C70D0B"/>
    <w:rsid w:val="00C7132B"/>
    <w:rsid w:val="00C74D4E"/>
    <w:rsid w:val="00C8270D"/>
    <w:rsid w:val="00C838A1"/>
    <w:rsid w:val="00C83A9C"/>
    <w:rsid w:val="00C876B9"/>
    <w:rsid w:val="00C91886"/>
    <w:rsid w:val="00C93F9A"/>
    <w:rsid w:val="00C961A0"/>
    <w:rsid w:val="00C969C5"/>
    <w:rsid w:val="00CA6718"/>
    <w:rsid w:val="00CB7BF8"/>
    <w:rsid w:val="00CE7114"/>
    <w:rsid w:val="00CF4725"/>
    <w:rsid w:val="00CF583F"/>
    <w:rsid w:val="00D0141A"/>
    <w:rsid w:val="00D1403F"/>
    <w:rsid w:val="00D201BA"/>
    <w:rsid w:val="00D22466"/>
    <w:rsid w:val="00D23968"/>
    <w:rsid w:val="00D24A00"/>
    <w:rsid w:val="00D32443"/>
    <w:rsid w:val="00D362F0"/>
    <w:rsid w:val="00D364DE"/>
    <w:rsid w:val="00D5173F"/>
    <w:rsid w:val="00D5250C"/>
    <w:rsid w:val="00D5480D"/>
    <w:rsid w:val="00D553A2"/>
    <w:rsid w:val="00D56783"/>
    <w:rsid w:val="00D609CE"/>
    <w:rsid w:val="00D60C9C"/>
    <w:rsid w:val="00D627CB"/>
    <w:rsid w:val="00D734E6"/>
    <w:rsid w:val="00D7469A"/>
    <w:rsid w:val="00D7557B"/>
    <w:rsid w:val="00D84EED"/>
    <w:rsid w:val="00D86006"/>
    <w:rsid w:val="00D915E8"/>
    <w:rsid w:val="00D94E48"/>
    <w:rsid w:val="00D94EE3"/>
    <w:rsid w:val="00DA093B"/>
    <w:rsid w:val="00DB4950"/>
    <w:rsid w:val="00DD38F9"/>
    <w:rsid w:val="00DE7EA4"/>
    <w:rsid w:val="00DF4E3C"/>
    <w:rsid w:val="00E00B47"/>
    <w:rsid w:val="00E01A44"/>
    <w:rsid w:val="00E02624"/>
    <w:rsid w:val="00E05BFB"/>
    <w:rsid w:val="00E05D8A"/>
    <w:rsid w:val="00E11943"/>
    <w:rsid w:val="00E130D7"/>
    <w:rsid w:val="00E13367"/>
    <w:rsid w:val="00E14E13"/>
    <w:rsid w:val="00E1539F"/>
    <w:rsid w:val="00E165AD"/>
    <w:rsid w:val="00E258F9"/>
    <w:rsid w:val="00E31D37"/>
    <w:rsid w:val="00E3412C"/>
    <w:rsid w:val="00E34EC8"/>
    <w:rsid w:val="00E36577"/>
    <w:rsid w:val="00E370CD"/>
    <w:rsid w:val="00E40FFD"/>
    <w:rsid w:val="00E4192D"/>
    <w:rsid w:val="00E42E2A"/>
    <w:rsid w:val="00E42F5D"/>
    <w:rsid w:val="00E4616B"/>
    <w:rsid w:val="00E61D5F"/>
    <w:rsid w:val="00E626B0"/>
    <w:rsid w:val="00E731A9"/>
    <w:rsid w:val="00E756AF"/>
    <w:rsid w:val="00E7598D"/>
    <w:rsid w:val="00EA2280"/>
    <w:rsid w:val="00EC52A2"/>
    <w:rsid w:val="00EC5607"/>
    <w:rsid w:val="00EC5957"/>
    <w:rsid w:val="00EC6313"/>
    <w:rsid w:val="00EC64FD"/>
    <w:rsid w:val="00EC655E"/>
    <w:rsid w:val="00ED00D6"/>
    <w:rsid w:val="00ED1C57"/>
    <w:rsid w:val="00ED236F"/>
    <w:rsid w:val="00ED25B1"/>
    <w:rsid w:val="00ED6A5D"/>
    <w:rsid w:val="00EE5534"/>
    <w:rsid w:val="00EF0149"/>
    <w:rsid w:val="00EF3290"/>
    <w:rsid w:val="00EF74A4"/>
    <w:rsid w:val="00F0773C"/>
    <w:rsid w:val="00F14390"/>
    <w:rsid w:val="00F23D0F"/>
    <w:rsid w:val="00F251F2"/>
    <w:rsid w:val="00F30F45"/>
    <w:rsid w:val="00F34166"/>
    <w:rsid w:val="00F37527"/>
    <w:rsid w:val="00F41C3F"/>
    <w:rsid w:val="00F43995"/>
    <w:rsid w:val="00F43AD8"/>
    <w:rsid w:val="00F466E4"/>
    <w:rsid w:val="00F64A9A"/>
    <w:rsid w:val="00F65A3D"/>
    <w:rsid w:val="00F718CB"/>
    <w:rsid w:val="00F83650"/>
    <w:rsid w:val="00F87FDB"/>
    <w:rsid w:val="00F9146B"/>
    <w:rsid w:val="00F92414"/>
    <w:rsid w:val="00F945E3"/>
    <w:rsid w:val="00FA2406"/>
    <w:rsid w:val="00FA58D5"/>
    <w:rsid w:val="00FC16B7"/>
    <w:rsid w:val="00FC751A"/>
    <w:rsid w:val="00FD1D55"/>
    <w:rsid w:val="00FF5B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5"/>
    <o:shapelayout v:ext="edit">
      <o:idmap v:ext="edit" data="1"/>
    </o:shapelayout>
  </w:shapeDefaults>
  <w:decimalSymbol w:val=","/>
  <w:listSeparator w:val=";"/>
  <w15:chartTrackingRefBased/>
  <w15:docId w15:val="{0676BE78-DF44-414A-8BE9-244EF07B0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C15"/>
    <w:rPr>
      <w:rFonts w:eastAsia="Calibri"/>
      <w:sz w:val="24"/>
      <w:szCs w:val="24"/>
    </w:rPr>
  </w:style>
  <w:style w:type="paragraph" w:styleId="Ttulo1">
    <w:name w:val="heading 1"/>
    <w:basedOn w:val="Normal"/>
    <w:next w:val="Normal"/>
    <w:qFormat/>
    <w:rsid w:val="00117B1D"/>
    <w:pPr>
      <w:keepNext/>
      <w:jc w:val="center"/>
      <w:outlineLvl w:val="0"/>
    </w:pPr>
    <w:rPr>
      <w:b/>
      <w:u w:val="single"/>
    </w:rPr>
  </w:style>
  <w:style w:type="paragraph" w:styleId="Ttulo2">
    <w:name w:val="heading 2"/>
    <w:basedOn w:val="Normal"/>
    <w:next w:val="Normal"/>
    <w:qFormat/>
    <w:rsid w:val="00117B1D"/>
    <w:pPr>
      <w:keepNext/>
      <w:jc w:val="center"/>
      <w:outlineLvl w:val="1"/>
    </w:pPr>
    <w:rPr>
      <w:b/>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0846F3"/>
    <w:pPr>
      <w:tabs>
        <w:tab w:val="center" w:pos="4252"/>
        <w:tab w:val="right" w:pos="8504"/>
      </w:tabs>
    </w:pPr>
  </w:style>
  <w:style w:type="paragraph" w:styleId="Piedepgina">
    <w:name w:val="footer"/>
    <w:basedOn w:val="Normal"/>
    <w:link w:val="PiedepginaCar"/>
    <w:uiPriority w:val="99"/>
    <w:rsid w:val="000846F3"/>
    <w:pPr>
      <w:tabs>
        <w:tab w:val="center" w:pos="4252"/>
        <w:tab w:val="right" w:pos="8504"/>
      </w:tabs>
    </w:pPr>
  </w:style>
  <w:style w:type="paragraph" w:styleId="Textoindependiente">
    <w:name w:val="Body Text"/>
    <w:basedOn w:val="Normal"/>
    <w:rsid w:val="000A16FD"/>
    <w:pPr>
      <w:jc w:val="both"/>
    </w:pPr>
    <w:rPr>
      <w:b/>
      <w:szCs w:val="20"/>
      <w:lang w:val="es-ES_tradnl" w:eastAsia="es-ES_tradnl"/>
    </w:rPr>
  </w:style>
  <w:style w:type="character" w:styleId="Nmerodepgina">
    <w:name w:val="page number"/>
    <w:basedOn w:val="Fuentedeprrafopredeter"/>
    <w:rsid w:val="002A6219"/>
  </w:style>
  <w:style w:type="paragraph" w:customStyle="1" w:styleId="cm56">
    <w:name w:val="cm56"/>
    <w:basedOn w:val="Normal"/>
    <w:rsid w:val="008A7A3D"/>
    <w:pPr>
      <w:spacing w:before="100" w:beforeAutospacing="1" w:after="100" w:afterAutospacing="1"/>
    </w:pPr>
  </w:style>
  <w:style w:type="paragraph" w:customStyle="1" w:styleId="simple">
    <w:name w:val="simple"/>
    <w:basedOn w:val="Normal"/>
    <w:rsid w:val="008A7A3D"/>
    <w:pPr>
      <w:spacing w:before="100" w:beforeAutospacing="1" w:after="100" w:afterAutospacing="1"/>
    </w:pPr>
  </w:style>
  <w:style w:type="paragraph" w:customStyle="1" w:styleId="cm58">
    <w:name w:val="cm58"/>
    <w:basedOn w:val="Normal"/>
    <w:rsid w:val="008A7A3D"/>
    <w:pPr>
      <w:spacing w:before="100" w:beforeAutospacing="1" w:after="100" w:afterAutospacing="1"/>
    </w:pPr>
  </w:style>
  <w:style w:type="paragraph" w:customStyle="1" w:styleId="Default">
    <w:name w:val="Default"/>
    <w:rsid w:val="00972B75"/>
    <w:pPr>
      <w:autoSpaceDE w:val="0"/>
      <w:autoSpaceDN w:val="0"/>
      <w:adjustRightInd w:val="0"/>
    </w:pPr>
    <w:rPr>
      <w:rFonts w:ascii="Arial" w:hAnsi="Arial" w:cs="Arial"/>
      <w:color w:val="000000"/>
      <w:sz w:val="24"/>
      <w:szCs w:val="24"/>
    </w:rPr>
  </w:style>
  <w:style w:type="paragraph" w:customStyle="1" w:styleId="Pa8">
    <w:name w:val="Pa8"/>
    <w:basedOn w:val="Default"/>
    <w:next w:val="Default"/>
    <w:rsid w:val="00BE7975"/>
    <w:pPr>
      <w:spacing w:line="201" w:lineRule="atLeast"/>
    </w:pPr>
    <w:rPr>
      <w:rFonts w:cs="Times New Roman"/>
      <w:color w:val="auto"/>
    </w:rPr>
  </w:style>
  <w:style w:type="paragraph" w:customStyle="1" w:styleId="Pa12">
    <w:name w:val="Pa12"/>
    <w:basedOn w:val="Default"/>
    <w:next w:val="Default"/>
    <w:rsid w:val="00BE7975"/>
    <w:pPr>
      <w:spacing w:line="201" w:lineRule="atLeast"/>
    </w:pPr>
    <w:rPr>
      <w:rFonts w:cs="Times New Roman"/>
      <w:color w:val="auto"/>
    </w:rPr>
  </w:style>
  <w:style w:type="paragraph" w:customStyle="1" w:styleId="Pa11">
    <w:name w:val="Pa11"/>
    <w:basedOn w:val="Default"/>
    <w:next w:val="Default"/>
    <w:rsid w:val="005A1841"/>
    <w:pPr>
      <w:spacing w:line="201" w:lineRule="atLeast"/>
    </w:pPr>
    <w:rPr>
      <w:rFonts w:cs="Times New Roman"/>
      <w:color w:val="auto"/>
    </w:rPr>
  </w:style>
  <w:style w:type="character" w:styleId="Textoennegrita">
    <w:name w:val="Strong"/>
    <w:qFormat/>
    <w:rsid w:val="008B42DD"/>
    <w:rPr>
      <w:b/>
      <w:bCs/>
    </w:rPr>
  </w:style>
  <w:style w:type="character" w:styleId="Hipervnculo">
    <w:name w:val="Hyperlink"/>
    <w:unhideWhenUsed/>
    <w:rsid w:val="00F34166"/>
    <w:rPr>
      <w:color w:val="0000FF"/>
      <w:u w:val="single"/>
    </w:rPr>
  </w:style>
  <w:style w:type="character" w:customStyle="1" w:styleId="PiedepginaCar">
    <w:name w:val="Pie de página Car"/>
    <w:link w:val="Piedepgina"/>
    <w:uiPriority w:val="99"/>
    <w:rsid w:val="006144CB"/>
    <w:rPr>
      <w:rFonts w:ascii="Arial" w:hAnsi="Arial"/>
      <w:sz w:val="24"/>
      <w:szCs w:val="24"/>
    </w:rPr>
  </w:style>
  <w:style w:type="paragraph" w:styleId="NormalWeb">
    <w:name w:val="Normal (Web)"/>
    <w:basedOn w:val="Normal"/>
    <w:uiPriority w:val="99"/>
    <w:unhideWhenUsed/>
    <w:rsid w:val="00373C15"/>
    <w:pPr>
      <w:spacing w:before="100" w:beforeAutospacing="1" w:after="100" w:afterAutospacing="1"/>
    </w:pPr>
  </w:style>
  <w:style w:type="paragraph" w:styleId="Textodeglobo">
    <w:name w:val="Balloon Text"/>
    <w:basedOn w:val="Normal"/>
    <w:link w:val="TextodegloboCar"/>
    <w:rsid w:val="00373C15"/>
    <w:rPr>
      <w:rFonts w:ascii="Segoe UI" w:hAnsi="Segoe UI" w:cs="Segoe UI"/>
      <w:sz w:val="18"/>
      <w:szCs w:val="18"/>
    </w:rPr>
  </w:style>
  <w:style w:type="character" w:customStyle="1" w:styleId="TextodegloboCar">
    <w:name w:val="Texto de globo Car"/>
    <w:basedOn w:val="Fuentedeprrafopredeter"/>
    <w:link w:val="Textodeglobo"/>
    <w:rsid w:val="00373C1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94098">
      <w:bodyDiv w:val="1"/>
      <w:marLeft w:val="0"/>
      <w:marRight w:val="0"/>
      <w:marTop w:val="0"/>
      <w:marBottom w:val="0"/>
      <w:divBdr>
        <w:top w:val="none" w:sz="0" w:space="0" w:color="auto"/>
        <w:left w:val="none" w:sz="0" w:space="0" w:color="auto"/>
        <w:bottom w:val="none" w:sz="0" w:space="0" w:color="auto"/>
        <w:right w:val="none" w:sz="0" w:space="0" w:color="auto"/>
      </w:divBdr>
    </w:div>
    <w:div w:id="156846381">
      <w:bodyDiv w:val="1"/>
      <w:marLeft w:val="0"/>
      <w:marRight w:val="0"/>
      <w:marTop w:val="0"/>
      <w:marBottom w:val="0"/>
      <w:divBdr>
        <w:top w:val="none" w:sz="0" w:space="0" w:color="auto"/>
        <w:left w:val="none" w:sz="0" w:space="0" w:color="auto"/>
        <w:bottom w:val="none" w:sz="0" w:space="0" w:color="auto"/>
        <w:right w:val="none" w:sz="0" w:space="0" w:color="auto"/>
      </w:divBdr>
    </w:div>
    <w:div w:id="259994187">
      <w:bodyDiv w:val="1"/>
      <w:marLeft w:val="0"/>
      <w:marRight w:val="0"/>
      <w:marTop w:val="0"/>
      <w:marBottom w:val="0"/>
      <w:divBdr>
        <w:top w:val="none" w:sz="0" w:space="0" w:color="auto"/>
        <w:left w:val="none" w:sz="0" w:space="0" w:color="auto"/>
        <w:bottom w:val="none" w:sz="0" w:space="0" w:color="auto"/>
        <w:right w:val="none" w:sz="0" w:space="0" w:color="auto"/>
      </w:divBdr>
    </w:div>
    <w:div w:id="366878138">
      <w:bodyDiv w:val="1"/>
      <w:marLeft w:val="0"/>
      <w:marRight w:val="0"/>
      <w:marTop w:val="0"/>
      <w:marBottom w:val="0"/>
      <w:divBdr>
        <w:top w:val="none" w:sz="0" w:space="0" w:color="auto"/>
        <w:left w:val="none" w:sz="0" w:space="0" w:color="auto"/>
        <w:bottom w:val="none" w:sz="0" w:space="0" w:color="auto"/>
        <w:right w:val="none" w:sz="0" w:space="0" w:color="auto"/>
      </w:divBdr>
    </w:div>
    <w:div w:id="429740872">
      <w:bodyDiv w:val="1"/>
      <w:marLeft w:val="0"/>
      <w:marRight w:val="0"/>
      <w:marTop w:val="0"/>
      <w:marBottom w:val="0"/>
      <w:divBdr>
        <w:top w:val="none" w:sz="0" w:space="0" w:color="auto"/>
        <w:left w:val="none" w:sz="0" w:space="0" w:color="auto"/>
        <w:bottom w:val="none" w:sz="0" w:space="0" w:color="auto"/>
        <w:right w:val="none" w:sz="0" w:space="0" w:color="auto"/>
      </w:divBdr>
    </w:div>
    <w:div w:id="470174055">
      <w:bodyDiv w:val="1"/>
      <w:marLeft w:val="0"/>
      <w:marRight w:val="0"/>
      <w:marTop w:val="0"/>
      <w:marBottom w:val="0"/>
      <w:divBdr>
        <w:top w:val="none" w:sz="0" w:space="0" w:color="auto"/>
        <w:left w:val="none" w:sz="0" w:space="0" w:color="auto"/>
        <w:bottom w:val="none" w:sz="0" w:space="0" w:color="auto"/>
        <w:right w:val="none" w:sz="0" w:space="0" w:color="auto"/>
      </w:divBdr>
    </w:div>
    <w:div w:id="574318693">
      <w:bodyDiv w:val="1"/>
      <w:marLeft w:val="0"/>
      <w:marRight w:val="0"/>
      <w:marTop w:val="0"/>
      <w:marBottom w:val="0"/>
      <w:divBdr>
        <w:top w:val="none" w:sz="0" w:space="0" w:color="auto"/>
        <w:left w:val="none" w:sz="0" w:space="0" w:color="auto"/>
        <w:bottom w:val="none" w:sz="0" w:space="0" w:color="auto"/>
        <w:right w:val="none" w:sz="0" w:space="0" w:color="auto"/>
      </w:divBdr>
    </w:div>
    <w:div w:id="738405587">
      <w:bodyDiv w:val="1"/>
      <w:marLeft w:val="0"/>
      <w:marRight w:val="0"/>
      <w:marTop w:val="0"/>
      <w:marBottom w:val="0"/>
      <w:divBdr>
        <w:top w:val="none" w:sz="0" w:space="0" w:color="auto"/>
        <w:left w:val="none" w:sz="0" w:space="0" w:color="auto"/>
        <w:bottom w:val="none" w:sz="0" w:space="0" w:color="auto"/>
        <w:right w:val="none" w:sz="0" w:space="0" w:color="auto"/>
      </w:divBdr>
    </w:div>
    <w:div w:id="801313234">
      <w:bodyDiv w:val="1"/>
      <w:marLeft w:val="0"/>
      <w:marRight w:val="0"/>
      <w:marTop w:val="0"/>
      <w:marBottom w:val="0"/>
      <w:divBdr>
        <w:top w:val="none" w:sz="0" w:space="0" w:color="auto"/>
        <w:left w:val="none" w:sz="0" w:space="0" w:color="auto"/>
        <w:bottom w:val="none" w:sz="0" w:space="0" w:color="auto"/>
        <w:right w:val="none" w:sz="0" w:space="0" w:color="auto"/>
      </w:divBdr>
    </w:div>
    <w:div w:id="804814630">
      <w:bodyDiv w:val="1"/>
      <w:marLeft w:val="0"/>
      <w:marRight w:val="0"/>
      <w:marTop w:val="0"/>
      <w:marBottom w:val="0"/>
      <w:divBdr>
        <w:top w:val="none" w:sz="0" w:space="0" w:color="auto"/>
        <w:left w:val="none" w:sz="0" w:space="0" w:color="auto"/>
        <w:bottom w:val="none" w:sz="0" w:space="0" w:color="auto"/>
        <w:right w:val="none" w:sz="0" w:space="0" w:color="auto"/>
      </w:divBdr>
    </w:div>
    <w:div w:id="834684222">
      <w:bodyDiv w:val="1"/>
      <w:marLeft w:val="0"/>
      <w:marRight w:val="0"/>
      <w:marTop w:val="0"/>
      <w:marBottom w:val="0"/>
      <w:divBdr>
        <w:top w:val="none" w:sz="0" w:space="0" w:color="auto"/>
        <w:left w:val="none" w:sz="0" w:space="0" w:color="auto"/>
        <w:bottom w:val="none" w:sz="0" w:space="0" w:color="auto"/>
        <w:right w:val="none" w:sz="0" w:space="0" w:color="auto"/>
      </w:divBdr>
    </w:div>
    <w:div w:id="860513215">
      <w:bodyDiv w:val="1"/>
      <w:marLeft w:val="0"/>
      <w:marRight w:val="0"/>
      <w:marTop w:val="0"/>
      <w:marBottom w:val="0"/>
      <w:divBdr>
        <w:top w:val="none" w:sz="0" w:space="0" w:color="auto"/>
        <w:left w:val="none" w:sz="0" w:space="0" w:color="auto"/>
        <w:bottom w:val="none" w:sz="0" w:space="0" w:color="auto"/>
        <w:right w:val="none" w:sz="0" w:space="0" w:color="auto"/>
      </w:divBdr>
    </w:div>
    <w:div w:id="870842866">
      <w:bodyDiv w:val="1"/>
      <w:marLeft w:val="0"/>
      <w:marRight w:val="0"/>
      <w:marTop w:val="0"/>
      <w:marBottom w:val="0"/>
      <w:divBdr>
        <w:top w:val="none" w:sz="0" w:space="0" w:color="auto"/>
        <w:left w:val="none" w:sz="0" w:space="0" w:color="auto"/>
        <w:bottom w:val="none" w:sz="0" w:space="0" w:color="auto"/>
        <w:right w:val="none" w:sz="0" w:space="0" w:color="auto"/>
      </w:divBdr>
    </w:div>
    <w:div w:id="922880527">
      <w:bodyDiv w:val="1"/>
      <w:marLeft w:val="0"/>
      <w:marRight w:val="0"/>
      <w:marTop w:val="0"/>
      <w:marBottom w:val="0"/>
      <w:divBdr>
        <w:top w:val="none" w:sz="0" w:space="0" w:color="auto"/>
        <w:left w:val="none" w:sz="0" w:space="0" w:color="auto"/>
        <w:bottom w:val="none" w:sz="0" w:space="0" w:color="auto"/>
        <w:right w:val="none" w:sz="0" w:space="0" w:color="auto"/>
      </w:divBdr>
    </w:div>
    <w:div w:id="965769743">
      <w:bodyDiv w:val="1"/>
      <w:marLeft w:val="0"/>
      <w:marRight w:val="0"/>
      <w:marTop w:val="0"/>
      <w:marBottom w:val="0"/>
      <w:divBdr>
        <w:top w:val="none" w:sz="0" w:space="0" w:color="auto"/>
        <w:left w:val="none" w:sz="0" w:space="0" w:color="auto"/>
        <w:bottom w:val="none" w:sz="0" w:space="0" w:color="auto"/>
        <w:right w:val="none" w:sz="0" w:space="0" w:color="auto"/>
      </w:divBdr>
    </w:div>
    <w:div w:id="1129980854">
      <w:bodyDiv w:val="1"/>
      <w:marLeft w:val="0"/>
      <w:marRight w:val="0"/>
      <w:marTop w:val="0"/>
      <w:marBottom w:val="0"/>
      <w:divBdr>
        <w:top w:val="none" w:sz="0" w:space="0" w:color="auto"/>
        <w:left w:val="none" w:sz="0" w:space="0" w:color="auto"/>
        <w:bottom w:val="none" w:sz="0" w:space="0" w:color="auto"/>
        <w:right w:val="none" w:sz="0" w:space="0" w:color="auto"/>
      </w:divBdr>
    </w:div>
    <w:div w:id="1179737594">
      <w:bodyDiv w:val="1"/>
      <w:marLeft w:val="0"/>
      <w:marRight w:val="0"/>
      <w:marTop w:val="0"/>
      <w:marBottom w:val="0"/>
      <w:divBdr>
        <w:top w:val="none" w:sz="0" w:space="0" w:color="auto"/>
        <w:left w:val="none" w:sz="0" w:space="0" w:color="auto"/>
        <w:bottom w:val="none" w:sz="0" w:space="0" w:color="auto"/>
        <w:right w:val="none" w:sz="0" w:space="0" w:color="auto"/>
      </w:divBdr>
    </w:div>
    <w:div w:id="1188981366">
      <w:bodyDiv w:val="1"/>
      <w:marLeft w:val="0"/>
      <w:marRight w:val="0"/>
      <w:marTop w:val="0"/>
      <w:marBottom w:val="0"/>
      <w:divBdr>
        <w:top w:val="none" w:sz="0" w:space="0" w:color="auto"/>
        <w:left w:val="none" w:sz="0" w:space="0" w:color="auto"/>
        <w:bottom w:val="none" w:sz="0" w:space="0" w:color="auto"/>
        <w:right w:val="none" w:sz="0" w:space="0" w:color="auto"/>
      </w:divBdr>
    </w:div>
    <w:div w:id="1254389015">
      <w:bodyDiv w:val="1"/>
      <w:marLeft w:val="0"/>
      <w:marRight w:val="0"/>
      <w:marTop w:val="0"/>
      <w:marBottom w:val="0"/>
      <w:divBdr>
        <w:top w:val="none" w:sz="0" w:space="0" w:color="auto"/>
        <w:left w:val="none" w:sz="0" w:space="0" w:color="auto"/>
        <w:bottom w:val="none" w:sz="0" w:space="0" w:color="auto"/>
        <w:right w:val="none" w:sz="0" w:space="0" w:color="auto"/>
      </w:divBdr>
      <w:divsChild>
        <w:div w:id="1510212246">
          <w:marLeft w:val="0"/>
          <w:marRight w:val="0"/>
          <w:marTop w:val="0"/>
          <w:marBottom w:val="0"/>
          <w:divBdr>
            <w:top w:val="none" w:sz="0" w:space="0" w:color="auto"/>
            <w:left w:val="none" w:sz="0" w:space="0" w:color="auto"/>
            <w:bottom w:val="none" w:sz="0" w:space="0" w:color="auto"/>
            <w:right w:val="none" w:sz="0" w:space="0" w:color="auto"/>
          </w:divBdr>
          <w:divsChild>
            <w:div w:id="1263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45614">
      <w:bodyDiv w:val="1"/>
      <w:marLeft w:val="0"/>
      <w:marRight w:val="0"/>
      <w:marTop w:val="0"/>
      <w:marBottom w:val="0"/>
      <w:divBdr>
        <w:top w:val="none" w:sz="0" w:space="0" w:color="auto"/>
        <w:left w:val="none" w:sz="0" w:space="0" w:color="auto"/>
        <w:bottom w:val="none" w:sz="0" w:space="0" w:color="auto"/>
        <w:right w:val="none" w:sz="0" w:space="0" w:color="auto"/>
      </w:divBdr>
    </w:div>
    <w:div w:id="1460994395">
      <w:bodyDiv w:val="1"/>
      <w:marLeft w:val="0"/>
      <w:marRight w:val="0"/>
      <w:marTop w:val="0"/>
      <w:marBottom w:val="0"/>
      <w:divBdr>
        <w:top w:val="none" w:sz="0" w:space="0" w:color="auto"/>
        <w:left w:val="none" w:sz="0" w:space="0" w:color="auto"/>
        <w:bottom w:val="none" w:sz="0" w:space="0" w:color="auto"/>
        <w:right w:val="none" w:sz="0" w:space="0" w:color="auto"/>
      </w:divBdr>
    </w:div>
    <w:div w:id="1480269976">
      <w:bodyDiv w:val="1"/>
      <w:marLeft w:val="0"/>
      <w:marRight w:val="0"/>
      <w:marTop w:val="0"/>
      <w:marBottom w:val="0"/>
      <w:divBdr>
        <w:top w:val="none" w:sz="0" w:space="0" w:color="auto"/>
        <w:left w:val="none" w:sz="0" w:space="0" w:color="auto"/>
        <w:bottom w:val="none" w:sz="0" w:space="0" w:color="auto"/>
        <w:right w:val="none" w:sz="0" w:space="0" w:color="auto"/>
      </w:divBdr>
    </w:div>
    <w:div w:id="1496267083">
      <w:bodyDiv w:val="1"/>
      <w:marLeft w:val="0"/>
      <w:marRight w:val="0"/>
      <w:marTop w:val="0"/>
      <w:marBottom w:val="0"/>
      <w:divBdr>
        <w:top w:val="none" w:sz="0" w:space="0" w:color="auto"/>
        <w:left w:val="none" w:sz="0" w:space="0" w:color="auto"/>
        <w:bottom w:val="none" w:sz="0" w:space="0" w:color="auto"/>
        <w:right w:val="none" w:sz="0" w:space="0" w:color="auto"/>
      </w:divBdr>
    </w:div>
    <w:div w:id="1617981359">
      <w:bodyDiv w:val="1"/>
      <w:marLeft w:val="0"/>
      <w:marRight w:val="0"/>
      <w:marTop w:val="0"/>
      <w:marBottom w:val="0"/>
      <w:divBdr>
        <w:top w:val="none" w:sz="0" w:space="0" w:color="auto"/>
        <w:left w:val="none" w:sz="0" w:space="0" w:color="auto"/>
        <w:bottom w:val="none" w:sz="0" w:space="0" w:color="auto"/>
        <w:right w:val="none" w:sz="0" w:space="0" w:color="auto"/>
      </w:divBdr>
    </w:div>
    <w:div w:id="1626503726">
      <w:bodyDiv w:val="1"/>
      <w:marLeft w:val="0"/>
      <w:marRight w:val="0"/>
      <w:marTop w:val="0"/>
      <w:marBottom w:val="0"/>
      <w:divBdr>
        <w:top w:val="none" w:sz="0" w:space="0" w:color="auto"/>
        <w:left w:val="none" w:sz="0" w:space="0" w:color="auto"/>
        <w:bottom w:val="none" w:sz="0" w:space="0" w:color="auto"/>
        <w:right w:val="none" w:sz="0" w:space="0" w:color="auto"/>
      </w:divBdr>
    </w:div>
    <w:div w:id="1646354276">
      <w:bodyDiv w:val="1"/>
      <w:marLeft w:val="0"/>
      <w:marRight w:val="0"/>
      <w:marTop w:val="0"/>
      <w:marBottom w:val="0"/>
      <w:divBdr>
        <w:top w:val="none" w:sz="0" w:space="0" w:color="auto"/>
        <w:left w:val="none" w:sz="0" w:space="0" w:color="auto"/>
        <w:bottom w:val="none" w:sz="0" w:space="0" w:color="auto"/>
        <w:right w:val="none" w:sz="0" w:space="0" w:color="auto"/>
      </w:divBdr>
    </w:div>
    <w:div w:id="1666590929">
      <w:bodyDiv w:val="1"/>
      <w:marLeft w:val="0"/>
      <w:marRight w:val="0"/>
      <w:marTop w:val="0"/>
      <w:marBottom w:val="0"/>
      <w:divBdr>
        <w:top w:val="none" w:sz="0" w:space="0" w:color="auto"/>
        <w:left w:val="none" w:sz="0" w:space="0" w:color="auto"/>
        <w:bottom w:val="none" w:sz="0" w:space="0" w:color="auto"/>
        <w:right w:val="none" w:sz="0" w:space="0" w:color="auto"/>
      </w:divBdr>
    </w:div>
    <w:div w:id="1712341361">
      <w:bodyDiv w:val="1"/>
      <w:marLeft w:val="0"/>
      <w:marRight w:val="0"/>
      <w:marTop w:val="0"/>
      <w:marBottom w:val="0"/>
      <w:divBdr>
        <w:top w:val="none" w:sz="0" w:space="0" w:color="auto"/>
        <w:left w:val="none" w:sz="0" w:space="0" w:color="auto"/>
        <w:bottom w:val="none" w:sz="0" w:space="0" w:color="auto"/>
        <w:right w:val="none" w:sz="0" w:space="0" w:color="auto"/>
      </w:divBdr>
    </w:div>
    <w:div w:id="1764718015">
      <w:bodyDiv w:val="1"/>
      <w:marLeft w:val="0"/>
      <w:marRight w:val="0"/>
      <w:marTop w:val="0"/>
      <w:marBottom w:val="0"/>
      <w:divBdr>
        <w:top w:val="none" w:sz="0" w:space="0" w:color="auto"/>
        <w:left w:val="none" w:sz="0" w:space="0" w:color="auto"/>
        <w:bottom w:val="none" w:sz="0" w:space="0" w:color="auto"/>
        <w:right w:val="none" w:sz="0" w:space="0" w:color="auto"/>
      </w:divBdr>
    </w:div>
    <w:div w:id="1898934553">
      <w:bodyDiv w:val="1"/>
      <w:marLeft w:val="0"/>
      <w:marRight w:val="0"/>
      <w:marTop w:val="0"/>
      <w:marBottom w:val="0"/>
      <w:divBdr>
        <w:top w:val="none" w:sz="0" w:space="0" w:color="auto"/>
        <w:left w:val="none" w:sz="0" w:space="0" w:color="auto"/>
        <w:bottom w:val="none" w:sz="0" w:space="0" w:color="auto"/>
        <w:right w:val="none" w:sz="0" w:space="0" w:color="auto"/>
      </w:divBdr>
      <w:divsChild>
        <w:div w:id="1045762252">
          <w:marLeft w:val="0"/>
          <w:marRight w:val="0"/>
          <w:marTop w:val="0"/>
          <w:marBottom w:val="0"/>
          <w:divBdr>
            <w:top w:val="none" w:sz="0" w:space="0" w:color="auto"/>
            <w:left w:val="none" w:sz="0" w:space="0" w:color="auto"/>
            <w:bottom w:val="none" w:sz="0" w:space="0" w:color="auto"/>
            <w:right w:val="none" w:sz="0" w:space="0" w:color="auto"/>
          </w:divBdr>
          <w:divsChild>
            <w:div w:id="4606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871096">
      <w:bodyDiv w:val="1"/>
      <w:marLeft w:val="0"/>
      <w:marRight w:val="0"/>
      <w:marTop w:val="0"/>
      <w:marBottom w:val="0"/>
      <w:divBdr>
        <w:top w:val="none" w:sz="0" w:space="0" w:color="auto"/>
        <w:left w:val="none" w:sz="0" w:space="0" w:color="auto"/>
        <w:bottom w:val="none" w:sz="0" w:space="0" w:color="auto"/>
        <w:right w:val="none" w:sz="0" w:space="0" w:color="auto"/>
      </w:divBdr>
    </w:div>
    <w:div w:id="1941258358">
      <w:bodyDiv w:val="1"/>
      <w:marLeft w:val="0"/>
      <w:marRight w:val="0"/>
      <w:marTop w:val="0"/>
      <w:marBottom w:val="0"/>
      <w:divBdr>
        <w:top w:val="none" w:sz="0" w:space="0" w:color="auto"/>
        <w:left w:val="none" w:sz="0" w:space="0" w:color="auto"/>
        <w:bottom w:val="none" w:sz="0" w:space="0" w:color="auto"/>
        <w:right w:val="none" w:sz="0" w:space="0" w:color="auto"/>
      </w:divBdr>
      <w:divsChild>
        <w:div w:id="1552156595">
          <w:marLeft w:val="0"/>
          <w:marRight w:val="0"/>
          <w:marTop w:val="0"/>
          <w:marBottom w:val="0"/>
          <w:divBdr>
            <w:top w:val="none" w:sz="0" w:space="0" w:color="auto"/>
            <w:left w:val="none" w:sz="0" w:space="0" w:color="auto"/>
            <w:bottom w:val="none" w:sz="0" w:space="0" w:color="auto"/>
            <w:right w:val="none" w:sz="0" w:space="0" w:color="auto"/>
          </w:divBdr>
          <w:divsChild>
            <w:div w:id="8178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1262">
      <w:bodyDiv w:val="1"/>
      <w:marLeft w:val="0"/>
      <w:marRight w:val="0"/>
      <w:marTop w:val="0"/>
      <w:marBottom w:val="0"/>
      <w:divBdr>
        <w:top w:val="none" w:sz="0" w:space="0" w:color="auto"/>
        <w:left w:val="none" w:sz="0" w:space="0" w:color="auto"/>
        <w:bottom w:val="none" w:sz="0" w:space="0" w:color="auto"/>
        <w:right w:val="none" w:sz="0" w:space="0" w:color="auto"/>
      </w:divBdr>
      <w:divsChild>
        <w:div w:id="432669656">
          <w:marLeft w:val="0"/>
          <w:marRight w:val="0"/>
          <w:marTop w:val="0"/>
          <w:marBottom w:val="0"/>
          <w:divBdr>
            <w:top w:val="none" w:sz="0" w:space="0" w:color="auto"/>
            <w:left w:val="none" w:sz="0" w:space="0" w:color="auto"/>
            <w:bottom w:val="none" w:sz="0" w:space="0" w:color="auto"/>
            <w:right w:val="none" w:sz="0" w:space="0" w:color="auto"/>
          </w:divBdr>
          <w:divsChild>
            <w:div w:id="115410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81189">
      <w:bodyDiv w:val="1"/>
      <w:marLeft w:val="0"/>
      <w:marRight w:val="0"/>
      <w:marTop w:val="0"/>
      <w:marBottom w:val="0"/>
      <w:divBdr>
        <w:top w:val="none" w:sz="0" w:space="0" w:color="auto"/>
        <w:left w:val="none" w:sz="0" w:space="0" w:color="auto"/>
        <w:bottom w:val="none" w:sz="0" w:space="0" w:color="auto"/>
        <w:right w:val="none" w:sz="0" w:space="0" w:color="auto"/>
      </w:divBdr>
    </w:div>
    <w:div w:id="2075085385">
      <w:bodyDiv w:val="1"/>
      <w:marLeft w:val="0"/>
      <w:marRight w:val="0"/>
      <w:marTop w:val="0"/>
      <w:marBottom w:val="0"/>
      <w:divBdr>
        <w:top w:val="none" w:sz="0" w:space="0" w:color="auto"/>
        <w:left w:val="none" w:sz="0" w:space="0" w:color="auto"/>
        <w:bottom w:val="none" w:sz="0" w:space="0" w:color="auto"/>
        <w:right w:val="none" w:sz="0" w:space="0" w:color="auto"/>
      </w:divBdr>
    </w:div>
    <w:div w:id="2093698702">
      <w:bodyDiv w:val="1"/>
      <w:marLeft w:val="0"/>
      <w:marRight w:val="0"/>
      <w:marTop w:val="0"/>
      <w:marBottom w:val="0"/>
      <w:divBdr>
        <w:top w:val="none" w:sz="0" w:space="0" w:color="auto"/>
        <w:left w:val="none" w:sz="0" w:space="0" w:color="auto"/>
        <w:bottom w:val="none" w:sz="0" w:space="0" w:color="auto"/>
        <w:right w:val="none" w:sz="0" w:space="0" w:color="auto"/>
      </w:divBdr>
    </w:div>
    <w:div w:id="210792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te.artolazabal\Documents\Plantillas%20personalizadas%20de%20Office\TALDE%20PARER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TALDE PARERA.dot</Template>
  <TotalTime>60</TotalTime>
  <Pages>21</Pages>
  <Words>1976</Words>
  <Characters>10432</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A LA MESA DEL CONGRESO DE LOS DIPUTADOS</vt:lpstr>
    </vt:vector>
  </TitlesOfParts>
  <Company/>
  <LinksUpToDate>false</LinksUpToDate>
  <CharactersWithSpaces>12384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LA MESA DEL CONGRESO DE LOS DIPUTADOS</dc:title>
  <dc:subject/>
  <dc:creator>Maite Gotzone Artolazabal Iriondo</dc:creator>
  <cp:keywords/>
  <dc:description/>
  <cp:lastModifiedBy>Maite Gotzone Artolazabal Iriondo</cp:lastModifiedBy>
  <cp:revision>5</cp:revision>
  <cp:lastPrinted>2020-06-29T07:30:00Z</cp:lastPrinted>
  <dcterms:created xsi:type="dcterms:W3CDTF">2020-06-29T07:22:00Z</dcterms:created>
  <dcterms:modified xsi:type="dcterms:W3CDTF">2020-06-29T09:48:00Z</dcterms:modified>
</cp:coreProperties>
</file>